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A148F" w14:textId="73B991C6" w:rsidR="00296428" w:rsidRPr="00296428" w:rsidRDefault="00296428" w:rsidP="00296428">
      <w:pPr>
        <w:shd w:val="clear" w:color="auto" w:fill="FFFFFF"/>
        <w:rPr>
          <w:rFonts w:ascii="Arial" w:eastAsia="Times New Roman" w:hAnsi="Arial" w:cs="Times New Roman"/>
          <w:color w:val="131313"/>
          <w:sz w:val="22"/>
          <w:szCs w:val="22"/>
          <w:lang w:val="en-US" w:eastAsia="en-GB"/>
        </w:rPr>
      </w:pPr>
      <w:r>
        <w:rPr>
          <w:rFonts w:ascii="Arial" w:eastAsia="Times New Roman" w:hAnsi="Arial" w:cs="Times New Roman"/>
          <w:color w:val="131313"/>
          <w:sz w:val="22"/>
          <w:szCs w:val="22"/>
          <w:lang w:val="en-US" w:eastAsia="en-GB"/>
        </w:rPr>
        <w:t>[</w:t>
      </w:r>
      <w:r w:rsidRPr="00296428">
        <w:rPr>
          <w:rFonts w:ascii="Arial" w:eastAsia="Times New Roman" w:hAnsi="Arial" w:cs="Times New Roman"/>
          <w:color w:val="131313"/>
          <w:sz w:val="22"/>
          <w:szCs w:val="22"/>
          <w:lang w:val="en-GR" w:eastAsia="en-GB"/>
        </w:rPr>
        <w:t>Published on 05/01/2018</w:t>
      </w:r>
      <w:r>
        <w:rPr>
          <w:rFonts w:ascii="Arial" w:eastAsia="Times New Roman" w:hAnsi="Arial" w:cs="Times New Roman"/>
          <w:color w:val="131313"/>
          <w:sz w:val="22"/>
          <w:szCs w:val="22"/>
          <w:lang w:val="en-US" w:eastAsia="en-GB"/>
        </w:rPr>
        <w:t>]</w:t>
      </w:r>
    </w:p>
    <w:p w14:paraId="79653786" w14:textId="77777777" w:rsidR="00296428" w:rsidRPr="00296428" w:rsidRDefault="00296428" w:rsidP="00296428">
      <w:pPr>
        <w:shd w:val="clear" w:color="auto" w:fill="FFFFFF"/>
        <w:rPr>
          <w:rFonts w:ascii="Arial" w:eastAsia="Times New Roman" w:hAnsi="Arial" w:cs="Times New Roman"/>
          <w:color w:val="131313"/>
          <w:sz w:val="22"/>
          <w:szCs w:val="22"/>
          <w:lang w:val="en-GR" w:eastAsia="en-GB"/>
        </w:rPr>
      </w:pPr>
    </w:p>
    <w:p w14:paraId="42439800" w14:textId="77777777" w:rsidR="00296428" w:rsidRPr="00296428" w:rsidRDefault="00296428" w:rsidP="00296428">
      <w:pPr>
        <w:shd w:val="clear" w:color="auto" w:fill="FFFFFF"/>
        <w:spacing w:after="210"/>
        <w:jc w:val="center"/>
        <w:outlineLvl w:val="1"/>
        <w:rPr>
          <w:rFonts w:ascii="Arial" w:eastAsia="Times New Roman" w:hAnsi="Arial" w:cs="Times New Roman"/>
          <w:b/>
          <w:bCs/>
          <w:color w:val="131313"/>
          <w:sz w:val="32"/>
          <w:szCs w:val="32"/>
          <w:lang w:val="en-GR" w:eastAsia="en-GB"/>
        </w:rPr>
      </w:pPr>
      <w:r w:rsidRPr="00296428">
        <w:rPr>
          <w:rFonts w:ascii="Arial" w:eastAsia="Times New Roman" w:hAnsi="Arial" w:cs="Times New Roman"/>
          <w:b/>
          <w:bCs/>
          <w:color w:val="131313"/>
          <w:sz w:val="32"/>
          <w:szCs w:val="32"/>
          <w:lang w:val="en-GR" w:eastAsia="en-GB"/>
        </w:rPr>
        <w:t>The Ellinikon contract – Background</w:t>
      </w:r>
    </w:p>
    <w:p w14:paraId="362B2120" w14:textId="77777777" w:rsidR="00296428" w:rsidRPr="00296428" w:rsidRDefault="00296428" w:rsidP="00296428">
      <w:pPr>
        <w:shd w:val="clear" w:color="auto" w:fill="FFFFFF"/>
        <w:spacing w:after="210"/>
        <w:rPr>
          <w:rFonts w:ascii="Arial" w:eastAsia="Times New Roman" w:hAnsi="Arial" w:cs="Times New Roman"/>
          <w:color w:val="131313"/>
          <w:sz w:val="22"/>
          <w:szCs w:val="22"/>
          <w:lang w:val="en-GR" w:eastAsia="en-GB"/>
        </w:rPr>
      </w:pPr>
      <w:r w:rsidRPr="00296428">
        <w:rPr>
          <w:rFonts w:ascii="Arial" w:eastAsia="Times New Roman" w:hAnsi="Arial" w:cs="Times New Roman"/>
          <w:color w:val="131313"/>
          <w:sz w:val="22"/>
          <w:szCs w:val="22"/>
          <w:lang w:val="en-GR" w:eastAsia="en-GB"/>
        </w:rPr>
        <w:t>The International Tender procedure for Ellinikon commenced in 2011. The contract, which provided for the transfer of the shares of “Hellinikon S.A.”, was signed in November 2014. The contract specified that within 2 years (November 2016), the transfer procedure should have been completed.</w:t>
      </w:r>
    </w:p>
    <w:p w14:paraId="2FA29C65" w14:textId="77777777" w:rsidR="00296428" w:rsidRPr="00296428" w:rsidRDefault="00296428" w:rsidP="00296428">
      <w:pPr>
        <w:numPr>
          <w:ilvl w:val="0"/>
          <w:numId w:val="1"/>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296428">
        <w:rPr>
          <w:rFonts w:ascii="Arial" w:eastAsia="Times New Roman" w:hAnsi="Arial" w:cs="Times New Roman"/>
          <w:color w:val="131313"/>
          <w:sz w:val="22"/>
          <w:szCs w:val="22"/>
          <w:u w:val="single"/>
          <w:lang w:val="en-GR" w:eastAsia="en-GB"/>
        </w:rPr>
        <w:t>“Hellinikon S.A.”</w:t>
      </w:r>
    </w:p>
    <w:p w14:paraId="0C56AB62" w14:textId="77777777" w:rsidR="00296428" w:rsidRPr="00296428" w:rsidRDefault="00296428" w:rsidP="00296428">
      <w:pPr>
        <w:shd w:val="clear" w:color="auto" w:fill="FFFFFF"/>
        <w:spacing w:after="210"/>
        <w:rPr>
          <w:rFonts w:ascii="Arial" w:eastAsia="Times New Roman" w:hAnsi="Arial" w:cs="Times New Roman"/>
          <w:color w:val="131313"/>
          <w:sz w:val="22"/>
          <w:szCs w:val="22"/>
          <w:lang w:val="en-GR" w:eastAsia="en-GB"/>
        </w:rPr>
      </w:pPr>
      <w:r w:rsidRPr="00296428">
        <w:rPr>
          <w:rFonts w:ascii="Arial" w:eastAsia="Times New Roman" w:hAnsi="Arial" w:cs="Times New Roman"/>
          <w:color w:val="131313"/>
          <w:sz w:val="22"/>
          <w:szCs w:val="22"/>
          <w:lang w:val="en-GR" w:eastAsia="en-GB"/>
        </w:rPr>
        <w:t>The company “Hellinikon S.A.” was established on 31 March 2011; its scope included the management, administration and development of the site of the former Athens International Airport in Ellinikon. In 2012, according to the Law 4062/2012 (art. 7, par. 1), the use, management, administration and development of the property owned by the Agios Kosmas National Youth Sports Centre (EAKN) and the Agios Kosmas (Attica) Olympic Sailing Centre (Marina), as well as their existing buildings and facilities, were also assigned to the company. The total area of the property that was placed under the management and administration of “Hellinikon S.A.” amounts to 6,205,667.31 m2 and constitutes the Ellinikon-Agios Kosmas Metropolitan Hub.</w:t>
      </w:r>
    </w:p>
    <w:p w14:paraId="73F97629" w14:textId="77777777" w:rsidR="00296428" w:rsidRPr="00296428" w:rsidRDefault="00296428" w:rsidP="00296428">
      <w:pPr>
        <w:numPr>
          <w:ilvl w:val="0"/>
          <w:numId w:val="2"/>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296428">
        <w:rPr>
          <w:rFonts w:ascii="Arial" w:eastAsia="Times New Roman" w:hAnsi="Arial" w:cs="Times New Roman"/>
          <w:color w:val="131313"/>
          <w:sz w:val="22"/>
          <w:szCs w:val="22"/>
          <w:u w:val="single"/>
          <w:lang w:val="en-GR" w:eastAsia="en-GB"/>
        </w:rPr>
        <w:t>The Tender</w:t>
      </w:r>
    </w:p>
    <w:p w14:paraId="4436FF80" w14:textId="77777777" w:rsidR="00296428" w:rsidRPr="00296428" w:rsidRDefault="00296428" w:rsidP="00296428">
      <w:pPr>
        <w:shd w:val="clear" w:color="auto" w:fill="FFFFFF"/>
        <w:spacing w:after="210"/>
        <w:rPr>
          <w:rFonts w:ascii="Arial" w:eastAsia="Times New Roman" w:hAnsi="Arial" w:cs="Times New Roman"/>
          <w:color w:val="131313"/>
          <w:sz w:val="22"/>
          <w:szCs w:val="22"/>
          <w:lang w:val="en-GR" w:eastAsia="en-GB"/>
        </w:rPr>
      </w:pPr>
      <w:r w:rsidRPr="00296428">
        <w:rPr>
          <w:rFonts w:ascii="Arial" w:eastAsia="Times New Roman" w:hAnsi="Arial" w:cs="Times New Roman"/>
          <w:b/>
          <w:bCs/>
          <w:color w:val="131313"/>
          <w:sz w:val="22"/>
          <w:szCs w:val="22"/>
          <w:lang w:val="en-GR" w:eastAsia="en-GB"/>
        </w:rPr>
        <w:t>Phase A</w:t>
      </w:r>
    </w:p>
    <w:p w14:paraId="0CF4AE0A" w14:textId="77777777" w:rsidR="00296428" w:rsidRPr="00296428" w:rsidRDefault="00296428" w:rsidP="00296428">
      <w:pPr>
        <w:shd w:val="clear" w:color="auto" w:fill="FFFFFF"/>
        <w:spacing w:after="210"/>
        <w:rPr>
          <w:rFonts w:ascii="Arial" w:eastAsia="Times New Roman" w:hAnsi="Arial" w:cs="Times New Roman"/>
          <w:color w:val="131313"/>
          <w:sz w:val="22"/>
          <w:szCs w:val="22"/>
          <w:lang w:val="en-GR" w:eastAsia="en-GB"/>
        </w:rPr>
      </w:pPr>
      <w:r w:rsidRPr="00296428">
        <w:rPr>
          <w:rFonts w:ascii="Arial" w:eastAsia="Times New Roman" w:hAnsi="Arial" w:cs="Times New Roman"/>
          <w:color w:val="131313"/>
          <w:sz w:val="22"/>
          <w:szCs w:val="22"/>
          <w:lang w:val="en-GR" w:eastAsia="en-GB"/>
        </w:rPr>
        <w:t>On December 8, 2011, the Invitation of Interest was published in Greek and international media and the final date for submission by the interested parties was April 17, 2012.</w:t>
      </w:r>
    </w:p>
    <w:p w14:paraId="21C575A0" w14:textId="77777777" w:rsidR="00296428" w:rsidRPr="00296428" w:rsidRDefault="00296428" w:rsidP="00296428">
      <w:pPr>
        <w:shd w:val="clear" w:color="auto" w:fill="FFFFFF"/>
        <w:spacing w:after="210"/>
        <w:rPr>
          <w:rFonts w:ascii="Arial" w:eastAsia="Times New Roman" w:hAnsi="Arial" w:cs="Times New Roman"/>
          <w:color w:val="131313"/>
          <w:sz w:val="22"/>
          <w:szCs w:val="22"/>
          <w:lang w:val="en-GR" w:eastAsia="en-GB"/>
        </w:rPr>
      </w:pPr>
      <w:r w:rsidRPr="00296428">
        <w:rPr>
          <w:rFonts w:ascii="Arial" w:eastAsia="Times New Roman" w:hAnsi="Arial" w:cs="Times New Roman"/>
          <w:color w:val="131313"/>
          <w:sz w:val="22"/>
          <w:szCs w:val="22"/>
          <w:lang w:val="en-GR" w:eastAsia="en-GB"/>
        </w:rPr>
        <w:t>During the first phase, expressions of interest were submitted by 9 companies:</w:t>
      </w:r>
    </w:p>
    <w:p w14:paraId="2F3E333F" w14:textId="77777777" w:rsidR="00296428" w:rsidRPr="00296428" w:rsidRDefault="00296428" w:rsidP="00296428">
      <w:pPr>
        <w:numPr>
          <w:ilvl w:val="0"/>
          <w:numId w:val="3"/>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296428">
        <w:rPr>
          <w:rFonts w:ascii="Arial" w:eastAsia="Times New Roman" w:hAnsi="Arial" w:cs="Times New Roman"/>
          <w:color w:val="131313"/>
          <w:sz w:val="22"/>
          <w:szCs w:val="22"/>
          <w:lang w:val="en-GR" w:eastAsia="en-GB"/>
        </w:rPr>
        <w:t>Elbit Cochin Island Ltd (Israel)</w:t>
      </w:r>
    </w:p>
    <w:p w14:paraId="0040D39A" w14:textId="77777777" w:rsidR="00296428" w:rsidRPr="00296428" w:rsidRDefault="00296428" w:rsidP="00296428">
      <w:pPr>
        <w:numPr>
          <w:ilvl w:val="0"/>
          <w:numId w:val="3"/>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296428">
        <w:rPr>
          <w:rFonts w:ascii="Arial" w:eastAsia="Times New Roman" w:hAnsi="Arial" w:cs="Times New Roman"/>
          <w:color w:val="131313"/>
          <w:sz w:val="22"/>
          <w:szCs w:val="22"/>
          <w:lang w:val="en-GR" w:eastAsia="en-GB"/>
        </w:rPr>
        <w:t>Gazit Group USA Inc. (United States of America)</w:t>
      </w:r>
    </w:p>
    <w:p w14:paraId="52027B02" w14:textId="77777777" w:rsidR="00296428" w:rsidRPr="00296428" w:rsidRDefault="00296428" w:rsidP="00296428">
      <w:pPr>
        <w:numPr>
          <w:ilvl w:val="0"/>
          <w:numId w:val="3"/>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296428">
        <w:rPr>
          <w:rFonts w:ascii="Arial" w:eastAsia="Times New Roman" w:hAnsi="Arial" w:cs="Times New Roman"/>
          <w:color w:val="131313"/>
          <w:sz w:val="22"/>
          <w:szCs w:val="22"/>
          <w:lang w:val="en-GR" w:eastAsia="en-GB"/>
        </w:rPr>
        <w:t>Kaglow Holdings Ltd. (Cyprus)</w:t>
      </w:r>
    </w:p>
    <w:p w14:paraId="4435E12E" w14:textId="77777777" w:rsidR="00296428" w:rsidRPr="00296428" w:rsidRDefault="00296428" w:rsidP="00296428">
      <w:pPr>
        <w:numPr>
          <w:ilvl w:val="0"/>
          <w:numId w:val="3"/>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296428">
        <w:rPr>
          <w:rFonts w:ascii="Arial" w:eastAsia="Times New Roman" w:hAnsi="Arial" w:cs="Times New Roman"/>
          <w:color w:val="131313"/>
          <w:sz w:val="22"/>
          <w:szCs w:val="22"/>
          <w:lang w:val="en-GR" w:eastAsia="en-GB"/>
        </w:rPr>
        <w:t>L&amp;R London and Regional Group Holdings Limited (United Kingdom)</w:t>
      </w:r>
    </w:p>
    <w:p w14:paraId="620C87B0" w14:textId="77777777" w:rsidR="00296428" w:rsidRPr="00296428" w:rsidRDefault="00296428" w:rsidP="00296428">
      <w:pPr>
        <w:numPr>
          <w:ilvl w:val="0"/>
          <w:numId w:val="3"/>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296428">
        <w:rPr>
          <w:rFonts w:ascii="Arial" w:eastAsia="Times New Roman" w:hAnsi="Arial" w:cs="Times New Roman"/>
          <w:color w:val="131313"/>
          <w:sz w:val="22"/>
          <w:szCs w:val="22"/>
          <w:lang w:val="en-GR" w:eastAsia="en-GB"/>
        </w:rPr>
        <w:t>Lamda Development S.A. (Greece)</w:t>
      </w:r>
    </w:p>
    <w:p w14:paraId="15BE4CF2" w14:textId="77777777" w:rsidR="00296428" w:rsidRPr="00296428" w:rsidRDefault="00296428" w:rsidP="00296428">
      <w:pPr>
        <w:numPr>
          <w:ilvl w:val="0"/>
          <w:numId w:val="3"/>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296428">
        <w:rPr>
          <w:rFonts w:ascii="Arial" w:eastAsia="Times New Roman" w:hAnsi="Arial" w:cs="Times New Roman"/>
          <w:color w:val="131313"/>
          <w:sz w:val="22"/>
          <w:szCs w:val="22"/>
          <w:lang w:val="en-GR" w:eastAsia="en-GB"/>
        </w:rPr>
        <w:t>LSGIE SA (Spain)</w:t>
      </w:r>
    </w:p>
    <w:p w14:paraId="409AA9DE" w14:textId="77777777" w:rsidR="00296428" w:rsidRPr="00296428" w:rsidRDefault="00296428" w:rsidP="00296428">
      <w:pPr>
        <w:numPr>
          <w:ilvl w:val="0"/>
          <w:numId w:val="3"/>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296428">
        <w:rPr>
          <w:rFonts w:ascii="Arial" w:eastAsia="Times New Roman" w:hAnsi="Arial" w:cs="Times New Roman"/>
          <w:color w:val="131313"/>
          <w:sz w:val="22"/>
          <w:szCs w:val="22"/>
          <w:lang w:val="en-GR" w:eastAsia="en-GB"/>
        </w:rPr>
        <w:t>Qatari Real Estate Investment Company QSC (Qatar)</w:t>
      </w:r>
    </w:p>
    <w:p w14:paraId="08738E35" w14:textId="77777777" w:rsidR="00296428" w:rsidRPr="00296428" w:rsidRDefault="00296428" w:rsidP="00296428">
      <w:pPr>
        <w:numPr>
          <w:ilvl w:val="0"/>
          <w:numId w:val="3"/>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296428">
        <w:rPr>
          <w:rFonts w:ascii="Arial" w:eastAsia="Times New Roman" w:hAnsi="Arial" w:cs="Times New Roman"/>
          <w:color w:val="131313"/>
          <w:sz w:val="22"/>
          <w:szCs w:val="22"/>
          <w:lang w:val="en-GR" w:eastAsia="en-GB"/>
        </w:rPr>
        <w:t>Sovinyon/Air Services International Limited FZE/Varangis Qatar LLC (joint venture) (Qatar)</w:t>
      </w:r>
    </w:p>
    <w:p w14:paraId="54233196" w14:textId="77777777" w:rsidR="00296428" w:rsidRPr="00296428" w:rsidRDefault="00296428" w:rsidP="00296428">
      <w:pPr>
        <w:numPr>
          <w:ilvl w:val="0"/>
          <w:numId w:val="3"/>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296428">
        <w:rPr>
          <w:rFonts w:ascii="Arial" w:eastAsia="Times New Roman" w:hAnsi="Arial" w:cs="Times New Roman"/>
          <w:color w:val="131313"/>
          <w:sz w:val="22"/>
          <w:szCs w:val="22"/>
          <w:lang w:val="en-GR" w:eastAsia="en-GB"/>
        </w:rPr>
        <w:t>Trump Acquisition LLC. (United States of America)</w:t>
      </w:r>
    </w:p>
    <w:p w14:paraId="65323962" w14:textId="77777777" w:rsidR="00296428" w:rsidRPr="00296428" w:rsidRDefault="00296428" w:rsidP="00296428">
      <w:pPr>
        <w:shd w:val="clear" w:color="auto" w:fill="FFFFFF"/>
        <w:spacing w:after="210"/>
        <w:rPr>
          <w:rFonts w:ascii="Arial" w:eastAsia="Times New Roman" w:hAnsi="Arial" w:cs="Times New Roman"/>
          <w:color w:val="131313"/>
          <w:sz w:val="22"/>
          <w:szCs w:val="22"/>
          <w:lang w:val="en-GR" w:eastAsia="en-GB"/>
        </w:rPr>
      </w:pPr>
      <w:r w:rsidRPr="00296428">
        <w:rPr>
          <w:rFonts w:ascii="Arial" w:eastAsia="Times New Roman" w:hAnsi="Arial" w:cs="Times New Roman"/>
          <w:b/>
          <w:bCs/>
          <w:color w:val="131313"/>
          <w:sz w:val="22"/>
          <w:szCs w:val="22"/>
          <w:lang w:val="en-GR" w:eastAsia="en-GB"/>
        </w:rPr>
        <w:t>Phase B</w:t>
      </w:r>
    </w:p>
    <w:p w14:paraId="52D04209" w14:textId="77777777" w:rsidR="00296428" w:rsidRPr="00296428" w:rsidRDefault="00296428" w:rsidP="00296428">
      <w:pPr>
        <w:shd w:val="clear" w:color="auto" w:fill="FFFFFF"/>
        <w:spacing w:after="210"/>
        <w:rPr>
          <w:rFonts w:ascii="Arial" w:eastAsia="Times New Roman" w:hAnsi="Arial" w:cs="Times New Roman"/>
          <w:color w:val="131313"/>
          <w:sz w:val="22"/>
          <w:szCs w:val="22"/>
          <w:lang w:val="en-GR" w:eastAsia="en-GB"/>
        </w:rPr>
      </w:pPr>
      <w:r w:rsidRPr="00296428">
        <w:rPr>
          <w:rFonts w:ascii="Arial" w:eastAsia="Times New Roman" w:hAnsi="Arial" w:cs="Times New Roman"/>
          <w:color w:val="131313"/>
          <w:sz w:val="22"/>
          <w:szCs w:val="22"/>
          <w:lang w:val="en-GR" w:eastAsia="en-GB"/>
        </w:rPr>
        <w:t>Out of the 9 interested investors, 4 fulfilled the pre-selection criteria required for participation in Phase B. The following companies were selected: a) Elbit Cochin Island Ltd, a) L&amp;R London and Regional Group Holdings Limited, c) Lamda Development S.A., d) Qatari Real Estate Investment Company QSC.</w:t>
      </w:r>
    </w:p>
    <w:p w14:paraId="1A824085" w14:textId="77777777" w:rsidR="00296428" w:rsidRPr="00296428" w:rsidRDefault="00296428" w:rsidP="00296428">
      <w:pPr>
        <w:shd w:val="clear" w:color="auto" w:fill="FFFFFF"/>
        <w:spacing w:after="210"/>
        <w:rPr>
          <w:rFonts w:ascii="Arial" w:eastAsia="Times New Roman" w:hAnsi="Arial" w:cs="Times New Roman"/>
          <w:color w:val="131313"/>
          <w:sz w:val="22"/>
          <w:szCs w:val="22"/>
          <w:lang w:val="en-GR" w:eastAsia="en-GB"/>
        </w:rPr>
      </w:pPr>
      <w:r w:rsidRPr="00296428">
        <w:rPr>
          <w:rFonts w:ascii="Arial" w:eastAsia="Times New Roman" w:hAnsi="Arial" w:cs="Times New Roman"/>
          <w:color w:val="131313"/>
          <w:sz w:val="22"/>
          <w:szCs w:val="22"/>
          <w:lang w:val="en-GR" w:eastAsia="en-GB"/>
        </w:rPr>
        <w:t>Out of those, only “Lamda Development S.A.” submitted a binding offer.</w:t>
      </w:r>
    </w:p>
    <w:p w14:paraId="11F1DB5A" w14:textId="77777777" w:rsidR="00296428" w:rsidRPr="00296428" w:rsidRDefault="00296428" w:rsidP="00296428">
      <w:pPr>
        <w:shd w:val="clear" w:color="auto" w:fill="FFFFFF"/>
        <w:spacing w:after="210"/>
        <w:rPr>
          <w:rFonts w:ascii="Arial" w:eastAsia="Times New Roman" w:hAnsi="Arial" w:cs="Times New Roman"/>
          <w:color w:val="131313"/>
          <w:sz w:val="22"/>
          <w:szCs w:val="22"/>
          <w:lang w:val="en-GR" w:eastAsia="en-GB"/>
        </w:rPr>
      </w:pPr>
      <w:r w:rsidRPr="00296428">
        <w:rPr>
          <w:rFonts w:ascii="Arial" w:eastAsia="Times New Roman" w:hAnsi="Arial" w:cs="Times New Roman"/>
          <w:color w:val="131313"/>
          <w:sz w:val="22"/>
          <w:szCs w:val="22"/>
          <w:lang w:val="en-GR" w:eastAsia="en-GB"/>
        </w:rPr>
        <w:t>The improved offer of “Lamda Development” was unsealed on 26 March 2014. The HRADF selected the company as “buyer”.</w:t>
      </w:r>
    </w:p>
    <w:p w14:paraId="0678C58B" w14:textId="77777777" w:rsidR="00296428" w:rsidRPr="00296428" w:rsidRDefault="00296428" w:rsidP="00296428">
      <w:pPr>
        <w:numPr>
          <w:ilvl w:val="0"/>
          <w:numId w:val="4"/>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296428">
        <w:rPr>
          <w:rFonts w:ascii="Arial" w:eastAsia="Times New Roman" w:hAnsi="Arial" w:cs="Times New Roman"/>
          <w:color w:val="131313"/>
          <w:sz w:val="22"/>
          <w:szCs w:val="22"/>
          <w:u w:val="single"/>
          <w:lang w:val="en-GR" w:eastAsia="en-GB"/>
        </w:rPr>
        <w:t>Consideration Price and Investment obligations</w:t>
      </w:r>
    </w:p>
    <w:p w14:paraId="623F21A9" w14:textId="77777777" w:rsidR="00296428" w:rsidRPr="00296428" w:rsidRDefault="00296428" w:rsidP="00296428">
      <w:pPr>
        <w:shd w:val="clear" w:color="auto" w:fill="FFFFFF"/>
        <w:spacing w:after="210"/>
        <w:rPr>
          <w:rFonts w:ascii="Arial" w:eastAsia="Times New Roman" w:hAnsi="Arial" w:cs="Times New Roman"/>
          <w:color w:val="131313"/>
          <w:sz w:val="22"/>
          <w:szCs w:val="22"/>
          <w:lang w:val="en-GR" w:eastAsia="en-GB"/>
        </w:rPr>
      </w:pPr>
      <w:r w:rsidRPr="00296428">
        <w:rPr>
          <w:rFonts w:ascii="Arial" w:eastAsia="Times New Roman" w:hAnsi="Arial" w:cs="Times New Roman"/>
          <w:color w:val="131313"/>
          <w:sz w:val="22"/>
          <w:szCs w:val="22"/>
          <w:lang w:val="en-GR" w:eastAsia="en-GB"/>
        </w:rPr>
        <w:lastRenderedPageBreak/>
        <w:t>The purchase price for the shares, based on the offer submitted by Lamda Development, was € 915,000,000, in which the amount of € 1.5 billion which is the budget for infrastructure projects, should be added. Consequently, the total amount is estimated on € 2.4 billion.</w:t>
      </w:r>
    </w:p>
    <w:p w14:paraId="2AFB4B21" w14:textId="77777777" w:rsidR="00296428" w:rsidRPr="00296428" w:rsidRDefault="00296428" w:rsidP="00296428">
      <w:pPr>
        <w:shd w:val="clear" w:color="auto" w:fill="FFFFFF"/>
        <w:spacing w:after="210"/>
        <w:rPr>
          <w:rFonts w:ascii="Arial" w:eastAsia="Times New Roman" w:hAnsi="Arial" w:cs="Times New Roman"/>
          <w:color w:val="131313"/>
          <w:sz w:val="22"/>
          <w:szCs w:val="22"/>
          <w:lang w:val="en-GR" w:eastAsia="en-GB"/>
        </w:rPr>
      </w:pPr>
      <w:r w:rsidRPr="00296428">
        <w:rPr>
          <w:rFonts w:ascii="Arial" w:eastAsia="Times New Roman" w:hAnsi="Arial" w:cs="Times New Roman"/>
          <w:color w:val="131313"/>
          <w:sz w:val="22"/>
          <w:szCs w:val="22"/>
          <w:lang w:val="en-GR" w:eastAsia="en-GB"/>
        </w:rPr>
        <w:t>It should be noted that the total investment will exceed the above contractual amounts, and is estimated at € 8 billion.</w:t>
      </w:r>
    </w:p>
    <w:p w14:paraId="057DF8B3" w14:textId="77777777" w:rsidR="00296428" w:rsidRPr="00296428" w:rsidRDefault="00296428" w:rsidP="00296428">
      <w:pPr>
        <w:shd w:val="clear" w:color="auto" w:fill="FFFFFF"/>
        <w:spacing w:after="210"/>
        <w:rPr>
          <w:rFonts w:ascii="Arial" w:eastAsia="Times New Roman" w:hAnsi="Arial" w:cs="Times New Roman"/>
          <w:color w:val="131313"/>
          <w:sz w:val="22"/>
          <w:szCs w:val="22"/>
          <w:lang w:val="en-GR" w:eastAsia="en-GB"/>
        </w:rPr>
      </w:pPr>
      <w:r w:rsidRPr="00296428">
        <w:rPr>
          <w:rFonts w:ascii="Arial" w:eastAsia="Times New Roman" w:hAnsi="Arial" w:cs="Times New Roman"/>
          <w:color w:val="131313"/>
          <w:sz w:val="22"/>
          <w:szCs w:val="22"/>
          <w:lang w:val="en-GR" w:eastAsia="en-GB"/>
        </w:rPr>
        <w:t>Moreover, the contract provides for the participation of the HRADF in the future economic benefits from implementation of the investment.</w:t>
      </w:r>
    </w:p>
    <w:p w14:paraId="4CBA97FC" w14:textId="77777777" w:rsidR="00296428" w:rsidRPr="00296428" w:rsidRDefault="00296428" w:rsidP="00296428">
      <w:pPr>
        <w:shd w:val="clear" w:color="auto" w:fill="FFFFFF"/>
        <w:spacing w:after="210"/>
        <w:rPr>
          <w:rFonts w:ascii="Arial" w:eastAsia="Times New Roman" w:hAnsi="Arial" w:cs="Times New Roman"/>
          <w:color w:val="131313"/>
          <w:sz w:val="22"/>
          <w:szCs w:val="22"/>
          <w:lang w:val="en-GR" w:eastAsia="en-GB"/>
        </w:rPr>
      </w:pPr>
      <w:r w:rsidRPr="00296428">
        <w:rPr>
          <w:rFonts w:ascii="Arial" w:eastAsia="Times New Roman" w:hAnsi="Arial" w:cs="Times New Roman"/>
          <w:color w:val="131313"/>
          <w:sz w:val="22"/>
          <w:szCs w:val="22"/>
          <w:lang w:val="en-GR" w:eastAsia="en-GB"/>
        </w:rPr>
        <w:t>The investor will make every possible effort to complete 80% of the investment obligations in a period of 12 years from the date of the transfer of shares.</w:t>
      </w:r>
    </w:p>
    <w:p w14:paraId="2D6577CA" w14:textId="77777777" w:rsidR="00296428" w:rsidRPr="00296428" w:rsidRDefault="00296428" w:rsidP="00296428">
      <w:pPr>
        <w:shd w:val="clear" w:color="auto" w:fill="FFFFFF"/>
        <w:spacing w:after="210"/>
        <w:rPr>
          <w:rFonts w:ascii="Arial" w:eastAsia="Times New Roman" w:hAnsi="Arial" w:cs="Times New Roman"/>
          <w:color w:val="131313"/>
          <w:sz w:val="22"/>
          <w:szCs w:val="22"/>
          <w:lang w:val="en-GR" w:eastAsia="en-GB"/>
        </w:rPr>
      </w:pPr>
      <w:r w:rsidRPr="00296428">
        <w:rPr>
          <w:rFonts w:ascii="Arial" w:eastAsia="Times New Roman" w:hAnsi="Arial" w:cs="Times New Roman"/>
          <w:color w:val="131313"/>
          <w:sz w:val="22"/>
          <w:szCs w:val="22"/>
          <w:lang w:val="en-GR" w:eastAsia="en-GB"/>
        </w:rPr>
        <w:t>Part of the obligations undertaken by the company refer to works of public benefit, such as:</w:t>
      </w:r>
    </w:p>
    <w:p w14:paraId="28B140AC" w14:textId="77777777" w:rsidR="00296428" w:rsidRPr="00296428" w:rsidRDefault="00296428" w:rsidP="00296428">
      <w:pPr>
        <w:numPr>
          <w:ilvl w:val="0"/>
          <w:numId w:val="5"/>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296428">
        <w:rPr>
          <w:rFonts w:ascii="Arial" w:eastAsia="Times New Roman" w:hAnsi="Arial" w:cs="Times New Roman"/>
          <w:color w:val="131313"/>
          <w:sz w:val="22"/>
          <w:szCs w:val="22"/>
          <w:lang w:val="en-GR" w:eastAsia="en-GB"/>
        </w:rPr>
        <w:t>the creation, maintenance and safety of a 2.000.000 sqm of Metropolitan Park;</w:t>
      </w:r>
    </w:p>
    <w:p w14:paraId="330ADA7B" w14:textId="77777777" w:rsidR="00296428" w:rsidRPr="00296428" w:rsidRDefault="00296428" w:rsidP="00296428">
      <w:pPr>
        <w:numPr>
          <w:ilvl w:val="0"/>
          <w:numId w:val="5"/>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296428">
        <w:rPr>
          <w:rFonts w:ascii="Arial" w:eastAsia="Times New Roman" w:hAnsi="Arial" w:cs="Times New Roman"/>
          <w:color w:val="131313"/>
          <w:sz w:val="22"/>
          <w:szCs w:val="22"/>
          <w:lang w:val="en-GR" w:eastAsia="en-GB"/>
        </w:rPr>
        <w:t>the creation of additional green areas and open spaces covering 600.000 sqm;</w:t>
      </w:r>
    </w:p>
    <w:p w14:paraId="426C6BE9" w14:textId="77777777" w:rsidR="00296428" w:rsidRPr="00296428" w:rsidRDefault="00296428" w:rsidP="00296428">
      <w:pPr>
        <w:numPr>
          <w:ilvl w:val="0"/>
          <w:numId w:val="5"/>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296428">
        <w:rPr>
          <w:rFonts w:ascii="Arial" w:eastAsia="Times New Roman" w:hAnsi="Arial" w:cs="Times New Roman"/>
          <w:color w:val="131313"/>
          <w:sz w:val="22"/>
          <w:szCs w:val="22"/>
          <w:lang w:val="en-GR" w:eastAsia="en-GB"/>
        </w:rPr>
        <w:t>the use of 300.000 sqm for public benefit uses;</w:t>
      </w:r>
    </w:p>
    <w:p w14:paraId="5474B192" w14:textId="77777777" w:rsidR="00296428" w:rsidRPr="00296428" w:rsidRDefault="00296428" w:rsidP="00296428">
      <w:pPr>
        <w:numPr>
          <w:ilvl w:val="0"/>
          <w:numId w:val="5"/>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296428">
        <w:rPr>
          <w:rFonts w:ascii="Arial" w:eastAsia="Times New Roman" w:hAnsi="Arial" w:cs="Times New Roman"/>
          <w:color w:val="131313"/>
          <w:sz w:val="22"/>
          <w:szCs w:val="22"/>
          <w:lang w:val="en-GR" w:eastAsia="en-GB"/>
        </w:rPr>
        <w:t>primary public transport infrastructure and facilities;</w:t>
      </w:r>
    </w:p>
    <w:p w14:paraId="1BCD0568" w14:textId="77777777" w:rsidR="00296428" w:rsidRPr="00296428" w:rsidRDefault="00296428" w:rsidP="00296428">
      <w:pPr>
        <w:numPr>
          <w:ilvl w:val="0"/>
          <w:numId w:val="5"/>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296428">
        <w:rPr>
          <w:rFonts w:ascii="Arial" w:eastAsia="Times New Roman" w:hAnsi="Arial" w:cs="Times New Roman"/>
          <w:color w:val="131313"/>
          <w:sz w:val="22"/>
          <w:szCs w:val="22"/>
          <w:lang w:val="en-GR" w:eastAsia="en-GB"/>
        </w:rPr>
        <w:t>main facilities and utility networks;</w:t>
      </w:r>
    </w:p>
    <w:p w14:paraId="235538AE" w14:textId="77777777" w:rsidR="00296428" w:rsidRPr="00296428" w:rsidRDefault="00296428" w:rsidP="00296428">
      <w:pPr>
        <w:numPr>
          <w:ilvl w:val="0"/>
          <w:numId w:val="5"/>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296428">
        <w:rPr>
          <w:rFonts w:ascii="Arial" w:eastAsia="Times New Roman" w:hAnsi="Arial" w:cs="Times New Roman"/>
          <w:color w:val="131313"/>
          <w:sz w:val="22"/>
          <w:szCs w:val="22"/>
          <w:lang w:val="en-GR" w:eastAsia="en-GB"/>
        </w:rPr>
        <w:t>centre for recyclable materials; transit station for domestic waste and transit/temporary area for the storage of recyclable products on the Property for its waste management;</w:t>
      </w:r>
    </w:p>
    <w:p w14:paraId="176C3325" w14:textId="77777777" w:rsidR="00296428" w:rsidRPr="00296428" w:rsidRDefault="00296428" w:rsidP="00296428">
      <w:pPr>
        <w:numPr>
          <w:ilvl w:val="0"/>
          <w:numId w:val="5"/>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296428">
        <w:rPr>
          <w:rFonts w:ascii="Arial" w:eastAsia="Times New Roman" w:hAnsi="Arial" w:cs="Times New Roman"/>
          <w:color w:val="131313"/>
          <w:sz w:val="22"/>
          <w:szCs w:val="22"/>
          <w:lang w:val="en-GR" w:eastAsia="en-GB"/>
        </w:rPr>
        <w:t>the required port works;</w:t>
      </w:r>
    </w:p>
    <w:p w14:paraId="2CF2D44E" w14:textId="77777777" w:rsidR="00296428" w:rsidRPr="00296428" w:rsidRDefault="00296428" w:rsidP="00296428">
      <w:pPr>
        <w:numPr>
          <w:ilvl w:val="0"/>
          <w:numId w:val="5"/>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296428">
        <w:rPr>
          <w:rFonts w:ascii="Arial" w:eastAsia="Times New Roman" w:hAnsi="Arial" w:cs="Times New Roman"/>
          <w:color w:val="131313"/>
          <w:sz w:val="22"/>
          <w:szCs w:val="22"/>
          <w:lang w:val="en-GR" w:eastAsia="en-GB"/>
        </w:rPr>
        <w:t>bypass and underground construction of part of Poseidonos Avenue;</w:t>
      </w:r>
    </w:p>
    <w:p w14:paraId="7AC78136" w14:textId="77777777" w:rsidR="00296428" w:rsidRPr="00296428" w:rsidRDefault="00296428" w:rsidP="00296428">
      <w:pPr>
        <w:numPr>
          <w:ilvl w:val="0"/>
          <w:numId w:val="5"/>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296428">
        <w:rPr>
          <w:rFonts w:ascii="Arial" w:eastAsia="Times New Roman" w:hAnsi="Arial" w:cs="Times New Roman"/>
          <w:color w:val="131313"/>
          <w:sz w:val="22"/>
          <w:szCs w:val="22"/>
          <w:lang w:val="en-GR" w:eastAsia="en-GB"/>
        </w:rPr>
        <w:t>recovery and management of streams;</w:t>
      </w:r>
    </w:p>
    <w:p w14:paraId="52B4DC64" w14:textId="77777777" w:rsidR="00296428" w:rsidRPr="00296428" w:rsidRDefault="00296428" w:rsidP="00296428">
      <w:pPr>
        <w:numPr>
          <w:ilvl w:val="0"/>
          <w:numId w:val="5"/>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296428">
        <w:rPr>
          <w:rFonts w:ascii="Arial" w:eastAsia="Times New Roman" w:hAnsi="Arial" w:cs="Times New Roman"/>
          <w:color w:val="131313"/>
          <w:sz w:val="22"/>
          <w:szCs w:val="22"/>
          <w:lang w:val="en-GR" w:eastAsia="en-GB"/>
        </w:rPr>
        <w:t>an extended network of pedestrian ways and bicycle routes, estimated at about fifty (50) km;</w:t>
      </w:r>
    </w:p>
    <w:p w14:paraId="7F77D831" w14:textId="77777777" w:rsidR="00296428" w:rsidRPr="00296428" w:rsidRDefault="00296428" w:rsidP="00296428">
      <w:pPr>
        <w:numPr>
          <w:ilvl w:val="0"/>
          <w:numId w:val="5"/>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296428">
        <w:rPr>
          <w:rFonts w:ascii="Arial" w:eastAsia="Times New Roman" w:hAnsi="Arial" w:cs="Times New Roman"/>
          <w:color w:val="131313"/>
          <w:sz w:val="22"/>
          <w:szCs w:val="22"/>
          <w:lang w:val="en-GR" w:eastAsia="en-GB"/>
        </w:rPr>
        <w:t>coverage of 50% of the cost of study and construction of the centre for recyclable materials, the transit station for domestic waste and the transit/temporary area for the storage of recyclable products in an area outside the property under certain conditions;</w:t>
      </w:r>
    </w:p>
    <w:p w14:paraId="33ADD746" w14:textId="77777777" w:rsidR="00296428" w:rsidRPr="00296428" w:rsidRDefault="00296428" w:rsidP="00296428">
      <w:pPr>
        <w:numPr>
          <w:ilvl w:val="0"/>
          <w:numId w:val="5"/>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296428">
        <w:rPr>
          <w:rFonts w:ascii="Arial" w:eastAsia="Times New Roman" w:hAnsi="Arial" w:cs="Times New Roman"/>
          <w:color w:val="131313"/>
          <w:sz w:val="22"/>
          <w:szCs w:val="22"/>
          <w:lang w:val="en-GR" w:eastAsia="en-GB"/>
        </w:rPr>
        <w:t>increased connectivity through fixed-track means of transport;</w:t>
      </w:r>
    </w:p>
    <w:p w14:paraId="2F285B7E" w14:textId="77777777" w:rsidR="00296428" w:rsidRPr="00296428" w:rsidRDefault="00296428" w:rsidP="00296428">
      <w:pPr>
        <w:numPr>
          <w:ilvl w:val="0"/>
          <w:numId w:val="5"/>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296428">
        <w:rPr>
          <w:rFonts w:ascii="Arial" w:eastAsia="Times New Roman" w:hAnsi="Arial" w:cs="Times New Roman"/>
          <w:color w:val="131313"/>
          <w:sz w:val="22"/>
          <w:szCs w:val="22"/>
          <w:lang w:val="en-GR" w:eastAsia="en-GB"/>
        </w:rPr>
        <w:t>development of most of the cultural and sports uses within the Metropolitan Park;</w:t>
      </w:r>
    </w:p>
    <w:p w14:paraId="3A4ABA0E" w14:textId="77777777" w:rsidR="00296428" w:rsidRPr="00296428" w:rsidRDefault="00296428" w:rsidP="00296428">
      <w:pPr>
        <w:numPr>
          <w:ilvl w:val="0"/>
          <w:numId w:val="5"/>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296428">
        <w:rPr>
          <w:rFonts w:ascii="Arial" w:eastAsia="Times New Roman" w:hAnsi="Arial" w:cs="Times New Roman"/>
          <w:color w:val="131313"/>
          <w:sz w:val="22"/>
          <w:szCs w:val="22"/>
          <w:lang w:val="en-GR" w:eastAsia="en-GB"/>
        </w:rPr>
        <w:t>renovation and operation of the listed buildings within the property;</w:t>
      </w:r>
    </w:p>
    <w:p w14:paraId="5FD07749" w14:textId="77777777" w:rsidR="00296428" w:rsidRPr="00296428" w:rsidRDefault="00296428" w:rsidP="00296428">
      <w:pPr>
        <w:numPr>
          <w:ilvl w:val="0"/>
          <w:numId w:val="5"/>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296428">
        <w:rPr>
          <w:rFonts w:ascii="Arial" w:eastAsia="Times New Roman" w:hAnsi="Arial" w:cs="Times New Roman"/>
          <w:color w:val="131313"/>
          <w:sz w:val="22"/>
          <w:szCs w:val="22"/>
          <w:lang w:val="en-GR" w:eastAsia="en-GB"/>
        </w:rPr>
        <w:t>development of facilities for the disabled association within the property, similar to the existing ones;</w:t>
      </w:r>
    </w:p>
    <w:p w14:paraId="5B7D214E" w14:textId="77777777" w:rsidR="00296428" w:rsidRPr="00296428" w:rsidRDefault="00296428" w:rsidP="00296428">
      <w:pPr>
        <w:numPr>
          <w:ilvl w:val="0"/>
          <w:numId w:val="5"/>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296428">
        <w:rPr>
          <w:rFonts w:ascii="Arial" w:eastAsia="Times New Roman" w:hAnsi="Arial" w:cs="Times New Roman"/>
          <w:color w:val="131313"/>
          <w:sz w:val="22"/>
          <w:szCs w:val="22"/>
          <w:lang w:val="en-GR" w:eastAsia="en-GB"/>
        </w:rPr>
        <w:t>development of approximately 1 km of beach.</w:t>
      </w:r>
    </w:p>
    <w:p w14:paraId="6A739BDA" w14:textId="77777777" w:rsidR="00296428" w:rsidRPr="00296428" w:rsidRDefault="00296428" w:rsidP="00296428">
      <w:pPr>
        <w:shd w:val="clear" w:color="auto" w:fill="FFFFFF"/>
        <w:spacing w:after="210"/>
        <w:rPr>
          <w:rFonts w:ascii="Arial" w:eastAsia="Times New Roman" w:hAnsi="Arial" w:cs="Times New Roman"/>
          <w:color w:val="131313"/>
          <w:sz w:val="22"/>
          <w:szCs w:val="22"/>
          <w:lang w:val="en-GR" w:eastAsia="en-GB"/>
        </w:rPr>
      </w:pPr>
      <w:r w:rsidRPr="00296428">
        <w:rPr>
          <w:rFonts w:ascii="Arial" w:eastAsia="Times New Roman" w:hAnsi="Arial" w:cs="Times New Roman"/>
          <w:color w:val="131313"/>
          <w:sz w:val="22"/>
          <w:szCs w:val="22"/>
          <w:lang w:val="en-GR" w:eastAsia="en-GB"/>
        </w:rPr>
        <w:t> </w:t>
      </w:r>
    </w:p>
    <w:p w14:paraId="702EF753" w14:textId="77777777" w:rsidR="00296428" w:rsidRPr="00296428" w:rsidRDefault="00296428" w:rsidP="00296428">
      <w:pPr>
        <w:numPr>
          <w:ilvl w:val="0"/>
          <w:numId w:val="6"/>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296428">
        <w:rPr>
          <w:rFonts w:ascii="Arial" w:eastAsia="Times New Roman" w:hAnsi="Arial" w:cs="Times New Roman"/>
          <w:color w:val="131313"/>
          <w:sz w:val="22"/>
          <w:szCs w:val="22"/>
          <w:u w:val="single"/>
          <w:lang w:val="en-GR" w:eastAsia="en-GB"/>
        </w:rPr>
        <w:t>Lawfulness Audit and Contract signature</w:t>
      </w:r>
    </w:p>
    <w:p w14:paraId="54D31207" w14:textId="77777777" w:rsidR="00296428" w:rsidRPr="00296428" w:rsidRDefault="00296428" w:rsidP="00296428">
      <w:pPr>
        <w:shd w:val="clear" w:color="auto" w:fill="FFFFFF"/>
        <w:spacing w:after="210"/>
        <w:rPr>
          <w:rFonts w:ascii="Arial" w:eastAsia="Times New Roman" w:hAnsi="Arial" w:cs="Times New Roman"/>
          <w:color w:val="131313"/>
          <w:sz w:val="22"/>
          <w:szCs w:val="22"/>
          <w:lang w:val="en-GR" w:eastAsia="en-GB"/>
        </w:rPr>
      </w:pPr>
      <w:r w:rsidRPr="00296428">
        <w:rPr>
          <w:rFonts w:ascii="Arial" w:eastAsia="Times New Roman" w:hAnsi="Arial" w:cs="Times New Roman"/>
          <w:color w:val="131313"/>
          <w:sz w:val="22"/>
          <w:szCs w:val="22"/>
          <w:lang w:val="en-GR" w:eastAsia="en-GB"/>
        </w:rPr>
        <w:t>The tender procedure and the draft contract were submitted to the Court of Auditors for a pre-contractual legality check.</w:t>
      </w:r>
    </w:p>
    <w:p w14:paraId="40677F85" w14:textId="77777777" w:rsidR="00296428" w:rsidRPr="00296428" w:rsidRDefault="00296428" w:rsidP="00296428">
      <w:pPr>
        <w:shd w:val="clear" w:color="auto" w:fill="FFFFFF"/>
        <w:spacing w:after="210"/>
        <w:rPr>
          <w:rFonts w:ascii="Arial" w:eastAsia="Times New Roman" w:hAnsi="Arial" w:cs="Times New Roman"/>
          <w:color w:val="131313"/>
          <w:sz w:val="22"/>
          <w:szCs w:val="22"/>
          <w:lang w:val="en-GR" w:eastAsia="en-GB"/>
        </w:rPr>
      </w:pPr>
      <w:r w:rsidRPr="00296428">
        <w:rPr>
          <w:rFonts w:ascii="Arial" w:eastAsia="Times New Roman" w:hAnsi="Arial" w:cs="Times New Roman"/>
          <w:color w:val="131313"/>
          <w:sz w:val="22"/>
          <w:szCs w:val="22"/>
          <w:lang w:val="en-GR" w:eastAsia="en-GB"/>
        </w:rPr>
        <w:t>Unit VI of the Court of Auditors issued a decision confirming that there were no obstacles to signing the draft contract.  The decision was ratified by three decisions (nos. 1183/2015, 1184/2015 and 1185/2015) by the Greater (7-member) Composition Unit of the Court of Auditors.</w:t>
      </w:r>
    </w:p>
    <w:p w14:paraId="5D93D726" w14:textId="77777777" w:rsidR="00296428" w:rsidRPr="00296428" w:rsidRDefault="00296428" w:rsidP="00296428">
      <w:pPr>
        <w:shd w:val="clear" w:color="auto" w:fill="FFFFFF"/>
        <w:spacing w:after="210"/>
        <w:rPr>
          <w:rFonts w:ascii="Arial" w:eastAsia="Times New Roman" w:hAnsi="Arial" w:cs="Times New Roman"/>
          <w:color w:val="131313"/>
          <w:sz w:val="22"/>
          <w:szCs w:val="22"/>
          <w:lang w:val="en-GR" w:eastAsia="en-GB"/>
        </w:rPr>
      </w:pPr>
      <w:r w:rsidRPr="00296428">
        <w:rPr>
          <w:rFonts w:ascii="Arial" w:eastAsia="Times New Roman" w:hAnsi="Arial" w:cs="Times New Roman"/>
          <w:color w:val="131313"/>
          <w:sz w:val="22"/>
          <w:szCs w:val="22"/>
          <w:lang w:val="en-GR" w:eastAsia="en-GB"/>
        </w:rPr>
        <w:t>At the same time, the Plenary Session of the Council of State, by virtue of three decisions (nos. 1902/2014, 1903/2014 and 1905/2014), concluded that the transfer of shares of “Hellinikon S.A.” from the Greek State to the HRADF was absolutely legal.</w:t>
      </w:r>
    </w:p>
    <w:p w14:paraId="0BB1B1BD" w14:textId="77777777" w:rsidR="00296428" w:rsidRPr="00296428" w:rsidRDefault="00296428" w:rsidP="00296428">
      <w:pPr>
        <w:shd w:val="clear" w:color="auto" w:fill="FFFFFF"/>
        <w:spacing w:after="210"/>
        <w:rPr>
          <w:rFonts w:ascii="Arial" w:eastAsia="Times New Roman" w:hAnsi="Arial" w:cs="Times New Roman"/>
          <w:color w:val="131313"/>
          <w:sz w:val="22"/>
          <w:szCs w:val="22"/>
          <w:lang w:val="en-GR" w:eastAsia="en-GB"/>
        </w:rPr>
      </w:pPr>
      <w:r w:rsidRPr="00296428">
        <w:rPr>
          <w:rFonts w:ascii="Arial" w:eastAsia="Times New Roman" w:hAnsi="Arial" w:cs="Times New Roman"/>
          <w:color w:val="131313"/>
          <w:sz w:val="22"/>
          <w:szCs w:val="22"/>
          <w:lang w:val="en-GR" w:eastAsia="en-GB"/>
        </w:rPr>
        <w:lastRenderedPageBreak/>
        <w:t>By virtue of two additional decisions (nos. 2185/2014 and 2186/2014), the Plenary Session of the Council of State rejected the requests for cancellation that had been submitted against the decisions of the Interministerial Committee for Restructuring and Privatisation.</w:t>
      </w:r>
    </w:p>
    <w:p w14:paraId="3AFC4679" w14:textId="77777777" w:rsidR="00296428" w:rsidRPr="00296428" w:rsidRDefault="00296428" w:rsidP="00296428">
      <w:pPr>
        <w:shd w:val="clear" w:color="auto" w:fill="FFFFFF"/>
        <w:spacing w:after="210"/>
        <w:rPr>
          <w:rFonts w:ascii="Arial" w:eastAsia="Times New Roman" w:hAnsi="Arial" w:cs="Times New Roman"/>
          <w:color w:val="131313"/>
          <w:sz w:val="22"/>
          <w:szCs w:val="22"/>
          <w:lang w:val="en-GR" w:eastAsia="en-GB"/>
        </w:rPr>
      </w:pPr>
      <w:r w:rsidRPr="00296428">
        <w:rPr>
          <w:rFonts w:ascii="Arial" w:eastAsia="Times New Roman" w:hAnsi="Arial" w:cs="Times New Roman"/>
          <w:color w:val="131313"/>
          <w:sz w:val="22"/>
          <w:szCs w:val="22"/>
          <w:lang w:val="en-GR" w:eastAsia="en-GB"/>
        </w:rPr>
        <w:t>After the issuance of the decisions of the Court of Auditors and the Plenary Session of the Council of State, the purchase/sale contract was signed (Shares purchase/sale contract between the HRADF, “Hellinikon Global I S.A.” and “Lamda Development S.A.” (as guarantor of “Hellinikon Global I S.A.).</w:t>
      </w:r>
    </w:p>
    <w:p w14:paraId="7B286D3D" w14:textId="77777777" w:rsidR="00296428" w:rsidRPr="00296428" w:rsidRDefault="00296428" w:rsidP="00296428">
      <w:pPr>
        <w:shd w:val="clear" w:color="auto" w:fill="FFFFFF"/>
        <w:spacing w:after="210"/>
        <w:rPr>
          <w:rFonts w:ascii="Arial" w:eastAsia="Times New Roman" w:hAnsi="Arial" w:cs="Times New Roman"/>
          <w:color w:val="131313"/>
          <w:sz w:val="22"/>
          <w:szCs w:val="22"/>
          <w:lang w:val="en-GR" w:eastAsia="en-GB"/>
        </w:rPr>
      </w:pPr>
      <w:r w:rsidRPr="00296428">
        <w:rPr>
          <w:rFonts w:ascii="Arial" w:eastAsia="Times New Roman" w:hAnsi="Arial" w:cs="Times New Roman"/>
          <w:color w:val="131313"/>
          <w:sz w:val="22"/>
          <w:szCs w:val="22"/>
          <w:lang w:val="en-GR" w:eastAsia="en-GB"/>
        </w:rPr>
        <w:t>The Court of Auditors verified again the purchase/sale contract, after the Amended Agreement was signed in June 2016.</w:t>
      </w:r>
    </w:p>
    <w:p w14:paraId="58F3C2D5" w14:textId="77777777" w:rsidR="00296428" w:rsidRPr="00296428" w:rsidRDefault="00296428" w:rsidP="00296428">
      <w:pPr>
        <w:numPr>
          <w:ilvl w:val="0"/>
          <w:numId w:val="7"/>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296428">
        <w:rPr>
          <w:rFonts w:ascii="Arial" w:eastAsia="Times New Roman" w:hAnsi="Arial" w:cs="Times New Roman"/>
          <w:color w:val="131313"/>
          <w:sz w:val="22"/>
          <w:szCs w:val="22"/>
          <w:u w:val="single"/>
          <w:lang w:val="en-GR" w:eastAsia="en-GB"/>
        </w:rPr>
        <w:t>Execution of the Amended Contract and ratification by the Greek Parliament</w:t>
      </w:r>
    </w:p>
    <w:p w14:paraId="1A864105" w14:textId="77777777" w:rsidR="00296428" w:rsidRPr="00296428" w:rsidRDefault="00296428" w:rsidP="00296428">
      <w:pPr>
        <w:shd w:val="clear" w:color="auto" w:fill="FFFFFF"/>
        <w:spacing w:after="210"/>
        <w:rPr>
          <w:rFonts w:ascii="Arial" w:eastAsia="Times New Roman" w:hAnsi="Arial" w:cs="Times New Roman"/>
          <w:color w:val="131313"/>
          <w:sz w:val="22"/>
          <w:szCs w:val="22"/>
          <w:lang w:val="en-GR" w:eastAsia="en-GB"/>
        </w:rPr>
      </w:pPr>
      <w:r w:rsidRPr="00296428">
        <w:rPr>
          <w:rFonts w:ascii="Arial" w:eastAsia="Times New Roman" w:hAnsi="Arial" w:cs="Times New Roman"/>
          <w:color w:val="131313"/>
          <w:sz w:val="22"/>
          <w:szCs w:val="22"/>
          <w:lang w:val="en-GR" w:eastAsia="en-GB"/>
        </w:rPr>
        <w:t>In 2016, the Government’s Economic Policy Council approved the HRADF’s Asset Development Plan, which foresaw the execution of a Memorandum of Understanding (MOU) between the parties.</w:t>
      </w:r>
    </w:p>
    <w:p w14:paraId="2B7915EA" w14:textId="77777777" w:rsidR="00296428" w:rsidRPr="00296428" w:rsidRDefault="00296428" w:rsidP="00296428">
      <w:pPr>
        <w:shd w:val="clear" w:color="auto" w:fill="FFFFFF"/>
        <w:spacing w:after="210"/>
        <w:rPr>
          <w:rFonts w:ascii="Arial" w:eastAsia="Times New Roman" w:hAnsi="Arial" w:cs="Times New Roman"/>
          <w:color w:val="131313"/>
          <w:sz w:val="22"/>
          <w:szCs w:val="22"/>
          <w:lang w:val="en-GR" w:eastAsia="en-GB"/>
        </w:rPr>
      </w:pPr>
      <w:r w:rsidRPr="00296428">
        <w:rPr>
          <w:rFonts w:ascii="Arial" w:eastAsia="Times New Roman" w:hAnsi="Arial" w:cs="Times New Roman"/>
          <w:color w:val="131313"/>
          <w:sz w:val="22"/>
          <w:szCs w:val="22"/>
          <w:lang w:val="en-GR" w:eastAsia="en-GB"/>
        </w:rPr>
        <w:t>The HRADF adopted the amendments to the initial contract and on 7 June 2016 the HRADF, “Hellinikon Global I S.A.” and “Lamda Development S.A.” (as guarantor of “Hellinikon Global I S.A.) co-signed the MOU via which it was agreed to sign an amended contract.</w:t>
      </w:r>
    </w:p>
    <w:p w14:paraId="5F4A7538" w14:textId="77777777" w:rsidR="00296428" w:rsidRPr="00296428" w:rsidRDefault="00296428" w:rsidP="00296428">
      <w:pPr>
        <w:shd w:val="clear" w:color="auto" w:fill="FFFFFF"/>
        <w:spacing w:after="210"/>
        <w:rPr>
          <w:rFonts w:ascii="Arial" w:eastAsia="Times New Roman" w:hAnsi="Arial" w:cs="Times New Roman"/>
          <w:color w:val="131313"/>
          <w:sz w:val="22"/>
          <w:szCs w:val="22"/>
          <w:lang w:val="en-GR" w:eastAsia="en-GB"/>
        </w:rPr>
      </w:pPr>
      <w:r w:rsidRPr="00296428">
        <w:rPr>
          <w:rFonts w:ascii="Arial" w:eastAsia="Times New Roman" w:hAnsi="Arial" w:cs="Times New Roman"/>
          <w:color w:val="131313"/>
          <w:sz w:val="22"/>
          <w:szCs w:val="22"/>
          <w:lang w:val="en-GR" w:eastAsia="en-GB"/>
        </w:rPr>
        <w:t>By virtue of a new decision, the Court of Auditors ruled that there were no obstacles to signing the amended contract, and this led to the execution of the amended contract on 19 July 2016.</w:t>
      </w:r>
    </w:p>
    <w:p w14:paraId="467FBC8F" w14:textId="77777777" w:rsidR="00296428" w:rsidRPr="00296428" w:rsidRDefault="00296428" w:rsidP="00296428">
      <w:pPr>
        <w:shd w:val="clear" w:color="auto" w:fill="FFFFFF"/>
        <w:spacing w:after="210"/>
        <w:rPr>
          <w:rFonts w:ascii="Arial" w:eastAsia="Times New Roman" w:hAnsi="Arial" w:cs="Times New Roman"/>
          <w:color w:val="131313"/>
          <w:sz w:val="22"/>
          <w:szCs w:val="22"/>
          <w:lang w:val="en-GR" w:eastAsia="en-GB"/>
        </w:rPr>
      </w:pPr>
      <w:r w:rsidRPr="00296428">
        <w:rPr>
          <w:rFonts w:ascii="Arial" w:eastAsia="Times New Roman" w:hAnsi="Arial" w:cs="Times New Roman"/>
          <w:color w:val="131313"/>
          <w:sz w:val="22"/>
          <w:szCs w:val="22"/>
          <w:lang w:val="en-GR" w:eastAsia="en-GB"/>
        </w:rPr>
        <w:t>In September 2016, the initial and amended contract was ratified by Greek Parliament by a vast majority (more than 260 MPs voted in favour).</w:t>
      </w:r>
    </w:p>
    <w:p w14:paraId="2D71A446" w14:textId="77777777" w:rsidR="00296428" w:rsidRPr="00296428" w:rsidRDefault="00296428" w:rsidP="00296428">
      <w:pPr>
        <w:numPr>
          <w:ilvl w:val="0"/>
          <w:numId w:val="8"/>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296428">
        <w:rPr>
          <w:rFonts w:ascii="Arial" w:eastAsia="Times New Roman" w:hAnsi="Arial" w:cs="Times New Roman"/>
          <w:color w:val="131313"/>
          <w:sz w:val="22"/>
          <w:szCs w:val="22"/>
          <w:u w:val="single"/>
          <w:lang w:val="en-GR" w:eastAsia="en-GB"/>
        </w:rPr>
        <w:t>Approval of the Integrated Development Plan by Presidential Decree</w:t>
      </w:r>
    </w:p>
    <w:p w14:paraId="7BB7E19A" w14:textId="77777777" w:rsidR="00296428" w:rsidRPr="00296428" w:rsidRDefault="00296428" w:rsidP="00296428">
      <w:pPr>
        <w:shd w:val="clear" w:color="auto" w:fill="FFFFFF"/>
        <w:spacing w:after="210"/>
        <w:rPr>
          <w:rFonts w:ascii="Arial" w:eastAsia="Times New Roman" w:hAnsi="Arial" w:cs="Times New Roman"/>
          <w:color w:val="131313"/>
          <w:sz w:val="22"/>
          <w:szCs w:val="22"/>
          <w:lang w:val="en-GR" w:eastAsia="en-GB"/>
        </w:rPr>
      </w:pPr>
      <w:r w:rsidRPr="00296428">
        <w:rPr>
          <w:rFonts w:ascii="Arial" w:eastAsia="Times New Roman" w:hAnsi="Arial" w:cs="Times New Roman"/>
          <w:color w:val="131313"/>
          <w:sz w:val="22"/>
          <w:szCs w:val="22"/>
          <w:lang w:val="en-GR" w:eastAsia="en-GB"/>
        </w:rPr>
        <w:t>The next step in the procedure is the approval of the Integrated Development Plan (IDP) by Presidential Decree, which will have previously been processed by the Council of State. The documents accompanying the said Plan include a Strategic Environmental Impact Study, which is published and subjected to public consultation according to the law. At the same time, the Special Committee of Experts of Law 4062/2012 is responsible for submitting an opinion about the Plan and the Central Management Council for the Development of Public Property, consisting of the General Secretaries of the involved Ministries is suggesting the draft Presidential Degree to the involved Ministers.</w:t>
      </w:r>
    </w:p>
    <w:p w14:paraId="5856B86C" w14:textId="77777777" w:rsidR="00296428" w:rsidRPr="00296428" w:rsidRDefault="00296428" w:rsidP="00296428">
      <w:pPr>
        <w:shd w:val="clear" w:color="auto" w:fill="FFFFFF"/>
        <w:spacing w:after="210"/>
        <w:rPr>
          <w:rFonts w:ascii="Arial" w:eastAsia="Times New Roman" w:hAnsi="Arial" w:cs="Times New Roman"/>
          <w:color w:val="131313"/>
          <w:sz w:val="22"/>
          <w:szCs w:val="22"/>
          <w:lang w:val="en-GR" w:eastAsia="en-GB"/>
        </w:rPr>
      </w:pPr>
      <w:r w:rsidRPr="00296428">
        <w:rPr>
          <w:rFonts w:ascii="Arial" w:eastAsia="Times New Roman" w:hAnsi="Arial" w:cs="Times New Roman"/>
          <w:color w:val="131313"/>
          <w:sz w:val="22"/>
          <w:szCs w:val="22"/>
          <w:lang w:val="en-GR" w:eastAsia="en-GB"/>
        </w:rPr>
        <w:t>Therefore, approval of the IDP is preceded by an extensive audit of all its parameters, both by Management and by the judicial authorities. However, it is noted that, as stipulated by the Contract, in order to complete the transfer, the IDP ultimately approved should not contain any substantial differences in relation to the master plan of the Investors, given that in the opposite case it would not be in line with the corresponding Operational Plan.</w:t>
      </w:r>
    </w:p>
    <w:p w14:paraId="11EDDB3B" w14:textId="77777777" w:rsidR="00296428" w:rsidRPr="00296428" w:rsidRDefault="00296428" w:rsidP="00296428">
      <w:pPr>
        <w:shd w:val="clear" w:color="auto" w:fill="FFFFFF"/>
        <w:spacing w:after="210"/>
        <w:rPr>
          <w:rFonts w:ascii="Arial" w:eastAsia="Times New Roman" w:hAnsi="Arial" w:cs="Times New Roman"/>
          <w:color w:val="131313"/>
          <w:sz w:val="22"/>
          <w:szCs w:val="22"/>
          <w:lang w:val="en-GR" w:eastAsia="en-GB"/>
        </w:rPr>
      </w:pPr>
      <w:r w:rsidRPr="00296428">
        <w:rPr>
          <w:rFonts w:ascii="Arial" w:eastAsia="Times New Roman" w:hAnsi="Arial" w:cs="Times New Roman"/>
          <w:color w:val="131313"/>
          <w:sz w:val="22"/>
          <w:szCs w:val="22"/>
          <w:lang w:val="en-GR" w:eastAsia="en-GB"/>
        </w:rPr>
        <w:t>The master plan of the Investors had been submitted to the HRADF and had been approved during the tender procedure. However, the Greek State, after having signed the Contract, requested amendment of certain issues that concern the master plan. Thus, after execution of the Amended Contract in July 2016, partial re-planning was required. Finally, the IDP was submitted to the HRADF for inspection in December 2016 and re-approved in February 2017.</w:t>
      </w:r>
    </w:p>
    <w:p w14:paraId="6D0031A9" w14:textId="77777777" w:rsidR="00296428" w:rsidRPr="00296428" w:rsidRDefault="00296428" w:rsidP="00296428">
      <w:pPr>
        <w:shd w:val="clear" w:color="auto" w:fill="FFFFFF"/>
        <w:spacing w:after="210"/>
        <w:rPr>
          <w:rFonts w:ascii="Arial" w:eastAsia="Times New Roman" w:hAnsi="Arial" w:cs="Times New Roman"/>
          <w:color w:val="131313"/>
          <w:sz w:val="22"/>
          <w:szCs w:val="22"/>
          <w:lang w:val="en-GR" w:eastAsia="en-GB"/>
        </w:rPr>
      </w:pPr>
      <w:r w:rsidRPr="00296428">
        <w:rPr>
          <w:rFonts w:ascii="Arial" w:eastAsia="Times New Roman" w:hAnsi="Arial" w:cs="Times New Roman"/>
          <w:color w:val="131313"/>
          <w:sz w:val="22"/>
          <w:szCs w:val="22"/>
          <w:lang w:val="en-GR" w:eastAsia="en-GB"/>
        </w:rPr>
        <w:t xml:space="preserve">However, final submission was not possible before solving the administrative issues that were still pending at the time. Finally, in order to accelerate the procedure and despite the fact that certain pending issues has not been solved once and for all, a fact that will most </w:t>
      </w:r>
      <w:r w:rsidRPr="00296428">
        <w:rPr>
          <w:rFonts w:ascii="Arial" w:eastAsia="Times New Roman" w:hAnsi="Arial" w:cs="Times New Roman"/>
          <w:color w:val="131313"/>
          <w:sz w:val="22"/>
          <w:szCs w:val="22"/>
          <w:lang w:val="en-GR" w:eastAsia="en-GB"/>
        </w:rPr>
        <w:lastRenderedPageBreak/>
        <w:t>probably have effects on the overall possibility to implement the development plan, the IDP was submitted for approval in June 2017, while the law stipulates that should be approved within six (6) months from submission.</w:t>
      </w:r>
    </w:p>
    <w:p w14:paraId="3B7E0852" w14:textId="77777777" w:rsidR="00296428" w:rsidRPr="00296428" w:rsidRDefault="00296428" w:rsidP="00296428">
      <w:pPr>
        <w:shd w:val="clear" w:color="auto" w:fill="FFFFFF"/>
        <w:spacing w:after="210"/>
        <w:rPr>
          <w:rFonts w:ascii="Arial" w:eastAsia="Times New Roman" w:hAnsi="Arial" w:cs="Times New Roman"/>
          <w:color w:val="131313"/>
          <w:sz w:val="22"/>
          <w:szCs w:val="22"/>
          <w:lang w:val="en-GR" w:eastAsia="en-GB"/>
        </w:rPr>
      </w:pPr>
      <w:r w:rsidRPr="00296428">
        <w:rPr>
          <w:rFonts w:ascii="Arial" w:eastAsia="Times New Roman" w:hAnsi="Arial" w:cs="Times New Roman"/>
          <w:color w:val="131313"/>
          <w:sz w:val="22"/>
          <w:szCs w:val="22"/>
          <w:lang w:val="en-GR" w:eastAsia="en-GB"/>
        </w:rPr>
        <w:t>Since then, the public consultation on the Strategic Environmental Impact Study has been completed, as well as the sessions of the competent body (Central Administration Council for the Exploitation of Public Property) and the draft Presidential Degree has been signed by the competent ministers and is under examination by the Council of State.</w:t>
      </w:r>
    </w:p>
    <w:p w14:paraId="47893ADF" w14:textId="6D12093A" w:rsidR="00296428" w:rsidRPr="00296428" w:rsidRDefault="00296428">
      <w:pPr>
        <w:rPr>
          <w:rFonts w:ascii="Arial" w:hAnsi="Arial"/>
          <w:sz w:val="22"/>
          <w:szCs w:val="22"/>
          <w:lang w:val="en-GR"/>
        </w:rPr>
      </w:pPr>
      <w:r w:rsidRPr="00296428">
        <w:rPr>
          <w:rFonts w:ascii="Arial" w:hAnsi="Arial"/>
          <w:sz w:val="22"/>
          <w:szCs w:val="22"/>
          <w:lang w:val="en-GR"/>
        </w:rPr>
        <w:br w:type="page"/>
      </w:r>
    </w:p>
    <w:p w14:paraId="494B2169" w14:textId="5A5650DB" w:rsidR="00296428" w:rsidRDefault="00296428" w:rsidP="00296428">
      <w:pPr>
        <w:shd w:val="clear" w:color="auto" w:fill="FFFFFF"/>
        <w:rPr>
          <w:rFonts w:ascii="Arial" w:eastAsia="Times New Roman" w:hAnsi="Arial" w:cs="Times New Roman"/>
          <w:color w:val="131313"/>
          <w:sz w:val="22"/>
          <w:szCs w:val="22"/>
          <w:lang w:val="en-US" w:eastAsia="en-GB"/>
        </w:rPr>
      </w:pPr>
      <w:r>
        <w:rPr>
          <w:rFonts w:ascii="Arial" w:eastAsia="Times New Roman" w:hAnsi="Arial" w:cs="Times New Roman"/>
          <w:color w:val="131313"/>
          <w:sz w:val="22"/>
          <w:szCs w:val="22"/>
          <w:lang w:val="en-US" w:eastAsia="en-GB"/>
        </w:rPr>
        <w:lastRenderedPageBreak/>
        <w:t>[</w:t>
      </w:r>
      <w:r w:rsidRPr="00296428">
        <w:rPr>
          <w:rFonts w:ascii="Arial" w:eastAsia="Times New Roman" w:hAnsi="Arial" w:cs="Times New Roman"/>
          <w:color w:val="131313"/>
          <w:sz w:val="22"/>
          <w:szCs w:val="22"/>
          <w:lang w:val="en-GR" w:eastAsia="en-GB"/>
        </w:rPr>
        <w:t>Published on 05/01/2018</w:t>
      </w:r>
      <w:r>
        <w:rPr>
          <w:rFonts w:ascii="Arial" w:eastAsia="Times New Roman" w:hAnsi="Arial" w:cs="Times New Roman"/>
          <w:color w:val="131313"/>
          <w:sz w:val="22"/>
          <w:szCs w:val="22"/>
          <w:lang w:val="en-US" w:eastAsia="en-GB"/>
        </w:rPr>
        <w:t>]</w:t>
      </w:r>
    </w:p>
    <w:p w14:paraId="3C68CC08" w14:textId="77777777" w:rsidR="00296428" w:rsidRPr="00296428" w:rsidRDefault="00296428" w:rsidP="00296428">
      <w:pPr>
        <w:shd w:val="clear" w:color="auto" w:fill="FFFFFF"/>
        <w:rPr>
          <w:rFonts w:ascii="Arial" w:eastAsia="Times New Roman" w:hAnsi="Arial" w:cs="Times New Roman"/>
          <w:color w:val="131313"/>
          <w:sz w:val="22"/>
          <w:szCs w:val="22"/>
          <w:lang w:val="en-US" w:eastAsia="en-GB"/>
        </w:rPr>
      </w:pPr>
    </w:p>
    <w:p w14:paraId="624D8558" w14:textId="77777777" w:rsidR="00296428" w:rsidRPr="00296428" w:rsidRDefault="00296428" w:rsidP="00296428">
      <w:pPr>
        <w:shd w:val="clear" w:color="auto" w:fill="FFFFFF"/>
        <w:spacing w:after="210"/>
        <w:jc w:val="center"/>
        <w:outlineLvl w:val="1"/>
        <w:rPr>
          <w:rFonts w:ascii="Arial" w:eastAsia="Times New Roman" w:hAnsi="Arial" w:cs="Times New Roman"/>
          <w:b/>
          <w:bCs/>
          <w:color w:val="131313"/>
          <w:sz w:val="32"/>
          <w:szCs w:val="32"/>
          <w:lang w:val="en-GR" w:eastAsia="en-GB"/>
        </w:rPr>
      </w:pPr>
      <w:r w:rsidRPr="00296428">
        <w:rPr>
          <w:rFonts w:ascii="Arial" w:eastAsia="Times New Roman" w:hAnsi="Arial" w:cs="Times New Roman"/>
          <w:b/>
          <w:bCs/>
          <w:color w:val="131313"/>
          <w:sz w:val="32"/>
          <w:szCs w:val="32"/>
          <w:lang w:val="en-GR" w:eastAsia="en-GB"/>
        </w:rPr>
        <w:t>H Σύμβαση – Ιστορική Αναδρομή</w:t>
      </w:r>
    </w:p>
    <w:p w14:paraId="0693D1B1" w14:textId="77777777" w:rsidR="00296428" w:rsidRDefault="00296428" w:rsidP="00296428">
      <w:pPr>
        <w:shd w:val="clear" w:color="auto" w:fill="FFFFFF"/>
        <w:spacing w:after="210"/>
        <w:rPr>
          <w:rFonts w:ascii="Arial" w:eastAsia="Times New Roman" w:hAnsi="Arial" w:cs="Times New Roman"/>
          <w:color w:val="131313"/>
          <w:sz w:val="22"/>
          <w:szCs w:val="22"/>
          <w:lang w:val="en-GR" w:eastAsia="en-GB"/>
        </w:rPr>
      </w:pPr>
    </w:p>
    <w:p w14:paraId="530176C1" w14:textId="1B682D05" w:rsidR="00296428" w:rsidRPr="00296428" w:rsidRDefault="00296428" w:rsidP="00296428">
      <w:pPr>
        <w:shd w:val="clear" w:color="auto" w:fill="FFFFFF"/>
        <w:spacing w:after="210"/>
        <w:rPr>
          <w:rFonts w:ascii="Arial" w:eastAsia="Times New Roman" w:hAnsi="Arial" w:cs="Times New Roman"/>
          <w:color w:val="131313"/>
          <w:sz w:val="22"/>
          <w:szCs w:val="22"/>
          <w:lang w:val="en-GR" w:eastAsia="en-GB"/>
        </w:rPr>
      </w:pPr>
      <w:r w:rsidRPr="00296428">
        <w:rPr>
          <w:rFonts w:ascii="Arial" w:eastAsia="Times New Roman" w:hAnsi="Arial" w:cs="Times New Roman"/>
          <w:color w:val="131313"/>
          <w:sz w:val="22"/>
          <w:szCs w:val="22"/>
          <w:lang w:val="en-GR" w:eastAsia="en-GB"/>
        </w:rPr>
        <w:t>Η διαδικασία του Διεθνούς Πλειοδοτικού Διαγωνισμού για το Ελληνικό ξεκίνησε το 2011. Η σύμβαση, η οποία προέβλεπε τη μεταβίβαση των μετοχών της Ελληνικό Α.Ε. υπογράφηκε το Νοέμβριο του 2014. H σύμβαση προέβλεπε ότι εντός 2 ετών, δηλαδή το Νοέμβριο του 2016, η διαδικασία μεταβίβασης θα έπρεπε να έχει ολοκληρωθεί.</w:t>
      </w:r>
    </w:p>
    <w:p w14:paraId="7A35B8A1" w14:textId="6EB6B617" w:rsidR="00296428" w:rsidRPr="00296428" w:rsidRDefault="00296428" w:rsidP="00296428">
      <w:pPr>
        <w:shd w:val="clear" w:color="auto" w:fill="FFFFFF"/>
        <w:spacing w:after="210"/>
        <w:rPr>
          <w:rFonts w:ascii="Arial" w:eastAsia="Times New Roman" w:hAnsi="Arial" w:cs="Times New Roman"/>
          <w:color w:val="131313"/>
          <w:sz w:val="22"/>
          <w:szCs w:val="22"/>
          <w:lang w:val="en-GR" w:eastAsia="en-GB"/>
        </w:rPr>
      </w:pPr>
      <w:r w:rsidRPr="00296428">
        <w:rPr>
          <w:rFonts w:ascii="Arial" w:eastAsia="Times New Roman" w:hAnsi="Arial" w:cs="Times New Roman"/>
          <w:color w:val="131313"/>
          <w:sz w:val="22"/>
          <w:szCs w:val="22"/>
          <w:lang w:val="en-GR" w:eastAsia="en-GB"/>
        </w:rPr>
        <w:fldChar w:fldCharType="begin"/>
      </w:r>
      <w:r w:rsidRPr="00296428">
        <w:rPr>
          <w:rFonts w:ascii="Arial" w:eastAsia="Times New Roman" w:hAnsi="Arial" w:cs="Times New Roman"/>
          <w:color w:val="131313"/>
          <w:sz w:val="22"/>
          <w:szCs w:val="22"/>
          <w:lang w:val="en-GR" w:eastAsia="en-GB"/>
        </w:rPr>
        <w:instrText xml:space="preserve"> INCLUDEPICTURE "https://theellinikon.com.gr/web/wp-content/uploads/2017/12/Timeline-gr-e1512131977742.jpg" \* MERGEFORMATINET </w:instrText>
      </w:r>
      <w:r w:rsidRPr="00296428">
        <w:rPr>
          <w:rFonts w:ascii="Arial" w:eastAsia="Times New Roman" w:hAnsi="Arial" w:cs="Times New Roman"/>
          <w:color w:val="131313"/>
          <w:sz w:val="22"/>
          <w:szCs w:val="22"/>
          <w:lang w:val="en-GR" w:eastAsia="en-GB"/>
        </w:rPr>
        <w:fldChar w:fldCharType="separate"/>
      </w:r>
      <w:r w:rsidRPr="00296428">
        <w:rPr>
          <w:rFonts w:ascii="Arial" w:eastAsia="Times New Roman" w:hAnsi="Arial" w:cs="Times New Roman"/>
          <w:noProof/>
          <w:color w:val="131313"/>
          <w:sz w:val="22"/>
          <w:szCs w:val="22"/>
          <w:lang w:val="en-GR" w:eastAsia="en-GB"/>
        </w:rPr>
        <w:drawing>
          <wp:inline distT="0" distB="0" distL="0" distR="0" wp14:anchorId="3BBFD495" wp14:editId="073A9D71">
            <wp:extent cx="5731510" cy="1277620"/>
            <wp:effectExtent l="0" t="0" r="0" b="5080"/>
            <wp:docPr id="1" name="Picture 1"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imeline&#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1277620"/>
                    </a:xfrm>
                    <a:prstGeom prst="rect">
                      <a:avLst/>
                    </a:prstGeom>
                    <a:noFill/>
                    <a:ln>
                      <a:noFill/>
                    </a:ln>
                  </pic:spPr>
                </pic:pic>
              </a:graphicData>
            </a:graphic>
          </wp:inline>
        </w:drawing>
      </w:r>
      <w:r w:rsidRPr="00296428">
        <w:rPr>
          <w:rFonts w:ascii="Arial" w:eastAsia="Times New Roman" w:hAnsi="Arial" w:cs="Times New Roman"/>
          <w:color w:val="131313"/>
          <w:sz w:val="22"/>
          <w:szCs w:val="22"/>
          <w:lang w:val="en-GR" w:eastAsia="en-GB"/>
        </w:rPr>
        <w:fldChar w:fldCharType="end"/>
      </w:r>
    </w:p>
    <w:p w14:paraId="79F8F59E" w14:textId="77777777" w:rsidR="00296428" w:rsidRPr="00296428" w:rsidRDefault="00296428" w:rsidP="00296428">
      <w:pPr>
        <w:numPr>
          <w:ilvl w:val="0"/>
          <w:numId w:val="9"/>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296428">
        <w:rPr>
          <w:rFonts w:ascii="Arial" w:eastAsia="Times New Roman" w:hAnsi="Arial" w:cs="Times New Roman"/>
          <w:color w:val="131313"/>
          <w:sz w:val="22"/>
          <w:szCs w:val="22"/>
          <w:u w:val="single"/>
          <w:lang w:val="en-GR" w:eastAsia="en-GB"/>
        </w:rPr>
        <w:t>Η «Ελληνικό Α.Ε».</w:t>
      </w:r>
    </w:p>
    <w:p w14:paraId="5EF3956C" w14:textId="77777777" w:rsidR="00296428" w:rsidRPr="00296428" w:rsidRDefault="00296428" w:rsidP="00296428">
      <w:pPr>
        <w:shd w:val="clear" w:color="auto" w:fill="FFFFFF"/>
        <w:spacing w:after="210"/>
        <w:rPr>
          <w:rFonts w:ascii="Arial" w:eastAsia="Times New Roman" w:hAnsi="Arial" w:cs="Times New Roman"/>
          <w:color w:val="131313"/>
          <w:sz w:val="22"/>
          <w:szCs w:val="22"/>
          <w:lang w:val="en-GR" w:eastAsia="en-GB"/>
        </w:rPr>
      </w:pPr>
      <w:r w:rsidRPr="00296428">
        <w:rPr>
          <w:rFonts w:ascii="Arial" w:eastAsia="Times New Roman" w:hAnsi="Arial" w:cs="Times New Roman"/>
          <w:color w:val="131313"/>
          <w:sz w:val="22"/>
          <w:szCs w:val="22"/>
          <w:lang w:val="en-GR" w:eastAsia="en-GB"/>
        </w:rPr>
        <w:t>Η εταιρεία Ελληνικό Α.Ε. ιδρύθηκε στις 31 Μαρτίου 2011 με σκοπό τη διοίκηση, διαχείριση και αξιοποίηση της έκτασης του πρώην Διεθνούς Αεροδρομίου της Αθήνας στο Ελληνικό. Το 2012 και με βάσει τον Ν. 4062/2012 (άρθ. 7, παρ. 1) στην εταιρεία ανατέθηκε, επίσης, η χρήση, διοίκηση, διαχείριση και εκμετάλλευση των ακινήτων του Εθνικού Αθλητικού Κέντρου Νεότητας (Ε.Α.Κ.Ν.) Αγίου Κοσμά και του Ολυμπιακού Κέντρου Ιστιοπλοΐας (Μαρίνα) Αγίου Κοσμά Αττικής, καθώς και των κτιρίων και των εγκαταστάσεων που υπάρχουν σε αυτά. Η συνολική έκταση του ακινήτου που περιήλθε στη διοίκηση και διαχείριση της «Ελληνικό Α.Ε.» ανέρχεται σε 6.205.667,31 τ.μ. και συνιστά τον Μητροπολιτικό Πόλο Ελληνικού – Αγίου Κοσμά.</w:t>
      </w:r>
    </w:p>
    <w:p w14:paraId="41B84725" w14:textId="77777777" w:rsidR="00296428" w:rsidRPr="00296428" w:rsidRDefault="00296428" w:rsidP="00296428">
      <w:pPr>
        <w:numPr>
          <w:ilvl w:val="0"/>
          <w:numId w:val="10"/>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296428">
        <w:rPr>
          <w:rFonts w:ascii="Arial" w:eastAsia="Times New Roman" w:hAnsi="Arial" w:cs="Times New Roman"/>
          <w:color w:val="131313"/>
          <w:sz w:val="22"/>
          <w:szCs w:val="22"/>
          <w:u w:val="single"/>
          <w:lang w:val="en-GR" w:eastAsia="en-GB"/>
        </w:rPr>
        <w:t>Ο Διαγωνισμός</w:t>
      </w:r>
    </w:p>
    <w:p w14:paraId="558E3A65" w14:textId="77777777" w:rsidR="00296428" w:rsidRPr="00296428" w:rsidRDefault="00296428" w:rsidP="00296428">
      <w:pPr>
        <w:shd w:val="clear" w:color="auto" w:fill="FFFFFF"/>
        <w:spacing w:after="210"/>
        <w:rPr>
          <w:rFonts w:ascii="Arial" w:eastAsia="Times New Roman" w:hAnsi="Arial" w:cs="Times New Roman"/>
          <w:color w:val="131313"/>
          <w:sz w:val="22"/>
          <w:szCs w:val="22"/>
          <w:lang w:val="en-GR" w:eastAsia="en-GB"/>
        </w:rPr>
      </w:pPr>
      <w:r w:rsidRPr="00296428">
        <w:rPr>
          <w:rFonts w:ascii="Arial" w:eastAsia="Times New Roman" w:hAnsi="Arial" w:cs="Times New Roman"/>
          <w:b/>
          <w:bCs/>
          <w:color w:val="131313"/>
          <w:sz w:val="22"/>
          <w:szCs w:val="22"/>
          <w:lang w:val="en-GR" w:eastAsia="en-GB"/>
        </w:rPr>
        <w:t>Α’ Φάση</w:t>
      </w:r>
    </w:p>
    <w:p w14:paraId="4C631A5E" w14:textId="77777777" w:rsidR="00296428" w:rsidRPr="00296428" w:rsidRDefault="00296428" w:rsidP="00296428">
      <w:pPr>
        <w:shd w:val="clear" w:color="auto" w:fill="FFFFFF"/>
        <w:spacing w:after="210"/>
        <w:rPr>
          <w:rFonts w:ascii="Arial" w:eastAsia="Times New Roman" w:hAnsi="Arial" w:cs="Times New Roman"/>
          <w:color w:val="131313"/>
          <w:sz w:val="22"/>
          <w:szCs w:val="22"/>
          <w:lang w:val="en-GR" w:eastAsia="en-GB"/>
        </w:rPr>
      </w:pPr>
      <w:r w:rsidRPr="00296428">
        <w:rPr>
          <w:rFonts w:ascii="Arial" w:eastAsia="Times New Roman" w:hAnsi="Arial" w:cs="Times New Roman"/>
          <w:color w:val="131313"/>
          <w:sz w:val="22"/>
          <w:szCs w:val="22"/>
          <w:lang w:val="en-GR" w:eastAsia="en-GB"/>
        </w:rPr>
        <w:t>Στις 8 Δεκεμβρίου 2011 δημοσιεύθηκε η Πρόσκληση Υποβολής Εκδήλωσης Ενδιαφέροντος σε ελληνικά και διεθνή ΜΜΕ και καταληκτική ημερομηνία υποβολής φακέλου για τους ενδιαφερόμενους ήταν η 17 Απριλίου 2012.</w:t>
      </w:r>
    </w:p>
    <w:p w14:paraId="10F774A6" w14:textId="77777777" w:rsidR="00296428" w:rsidRPr="00296428" w:rsidRDefault="00296428" w:rsidP="00296428">
      <w:pPr>
        <w:shd w:val="clear" w:color="auto" w:fill="FFFFFF"/>
        <w:spacing w:after="210"/>
        <w:rPr>
          <w:rFonts w:ascii="Arial" w:eastAsia="Times New Roman" w:hAnsi="Arial" w:cs="Times New Roman"/>
          <w:color w:val="131313"/>
          <w:sz w:val="22"/>
          <w:szCs w:val="22"/>
          <w:lang w:val="en-GR" w:eastAsia="en-GB"/>
        </w:rPr>
      </w:pPr>
      <w:r w:rsidRPr="00296428">
        <w:rPr>
          <w:rFonts w:ascii="Arial" w:eastAsia="Times New Roman" w:hAnsi="Arial" w:cs="Times New Roman"/>
          <w:color w:val="131313"/>
          <w:sz w:val="22"/>
          <w:szCs w:val="22"/>
          <w:lang w:val="en-GR" w:eastAsia="en-GB"/>
        </w:rPr>
        <w:t>Κατά την πρώτη φάση υποβλήθηκαν εκδηλώσεις ενδιαφέροντος από συνολικά 9 εταιρείες:</w:t>
      </w:r>
    </w:p>
    <w:p w14:paraId="0042B862" w14:textId="77777777" w:rsidR="00296428" w:rsidRPr="00296428" w:rsidRDefault="00296428" w:rsidP="00296428">
      <w:pPr>
        <w:numPr>
          <w:ilvl w:val="0"/>
          <w:numId w:val="11"/>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296428">
        <w:rPr>
          <w:rFonts w:ascii="Arial" w:eastAsia="Times New Roman" w:hAnsi="Arial" w:cs="Times New Roman"/>
          <w:color w:val="131313"/>
          <w:sz w:val="22"/>
          <w:szCs w:val="22"/>
          <w:lang w:val="en-GR" w:eastAsia="en-GB"/>
        </w:rPr>
        <w:t>Elbit Cochin Island Ltd (Ισραήλ)</w:t>
      </w:r>
    </w:p>
    <w:p w14:paraId="1AA8444C" w14:textId="77777777" w:rsidR="00296428" w:rsidRPr="00296428" w:rsidRDefault="00296428" w:rsidP="00296428">
      <w:pPr>
        <w:numPr>
          <w:ilvl w:val="0"/>
          <w:numId w:val="11"/>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296428">
        <w:rPr>
          <w:rFonts w:ascii="Arial" w:eastAsia="Times New Roman" w:hAnsi="Arial" w:cs="Times New Roman"/>
          <w:color w:val="131313"/>
          <w:sz w:val="22"/>
          <w:szCs w:val="22"/>
          <w:lang w:val="en-GR" w:eastAsia="en-GB"/>
        </w:rPr>
        <w:t>Gazit Group USA Inc. (Ηνωμένες Πολιτείες της Αμερικής)</w:t>
      </w:r>
    </w:p>
    <w:p w14:paraId="4450D008" w14:textId="77777777" w:rsidR="00296428" w:rsidRPr="00296428" w:rsidRDefault="00296428" w:rsidP="00296428">
      <w:pPr>
        <w:numPr>
          <w:ilvl w:val="0"/>
          <w:numId w:val="11"/>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296428">
        <w:rPr>
          <w:rFonts w:ascii="Arial" w:eastAsia="Times New Roman" w:hAnsi="Arial" w:cs="Times New Roman"/>
          <w:color w:val="131313"/>
          <w:sz w:val="22"/>
          <w:szCs w:val="22"/>
          <w:lang w:val="en-GR" w:eastAsia="en-GB"/>
        </w:rPr>
        <w:t>Kaglow Holdings Ltd, (Κύπρος)</w:t>
      </w:r>
    </w:p>
    <w:p w14:paraId="6B49A27E" w14:textId="77777777" w:rsidR="00296428" w:rsidRPr="00296428" w:rsidRDefault="00296428" w:rsidP="00296428">
      <w:pPr>
        <w:numPr>
          <w:ilvl w:val="0"/>
          <w:numId w:val="11"/>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296428">
        <w:rPr>
          <w:rFonts w:ascii="Arial" w:eastAsia="Times New Roman" w:hAnsi="Arial" w:cs="Times New Roman"/>
          <w:color w:val="131313"/>
          <w:sz w:val="22"/>
          <w:szCs w:val="22"/>
          <w:lang w:val="en-GR" w:eastAsia="en-GB"/>
        </w:rPr>
        <w:t>L&amp;R London and Regional Group Holdings Limited (Ηνωμένο Βασίλειο)</w:t>
      </w:r>
    </w:p>
    <w:p w14:paraId="02EBBB28" w14:textId="77777777" w:rsidR="00296428" w:rsidRPr="00296428" w:rsidRDefault="00296428" w:rsidP="00296428">
      <w:pPr>
        <w:numPr>
          <w:ilvl w:val="0"/>
          <w:numId w:val="11"/>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296428">
        <w:rPr>
          <w:rFonts w:ascii="Arial" w:eastAsia="Times New Roman" w:hAnsi="Arial" w:cs="Times New Roman"/>
          <w:color w:val="131313"/>
          <w:sz w:val="22"/>
          <w:szCs w:val="22"/>
          <w:lang w:val="en-GR" w:eastAsia="en-GB"/>
        </w:rPr>
        <w:t>Lamda Development S.A. (Ελλάδα)</w:t>
      </w:r>
    </w:p>
    <w:p w14:paraId="287798EB" w14:textId="77777777" w:rsidR="00296428" w:rsidRPr="00296428" w:rsidRDefault="00296428" w:rsidP="00296428">
      <w:pPr>
        <w:numPr>
          <w:ilvl w:val="0"/>
          <w:numId w:val="11"/>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296428">
        <w:rPr>
          <w:rFonts w:ascii="Arial" w:eastAsia="Times New Roman" w:hAnsi="Arial" w:cs="Times New Roman"/>
          <w:color w:val="131313"/>
          <w:sz w:val="22"/>
          <w:szCs w:val="22"/>
          <w:lang w:val="en-GR" w:eastAsia="en-GB"/>
        </w:rPr>
        <w:t>LSGIE SA (Ισπανία)</w:t>
      </w:r>
    </w:p>
    <w:p w14:paraId="0F32295F" w14:textId="77777777" w:rsidR="00296428" w:rsidRPr="00296428" w:rsidRDefault="00296428" w:rsidP="00296428">
      <w:pPr>
        <w:numPr>
          <w:ilvl w:val="0"/>
          <w:numId w:val="11"/>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296428">
        <w:rPr>
          <w:rFonts w:ascii="Arial" w:eastAsia="Times New Roman" w:hAnsi="Arial" w:cs="Times New Roman"/>
          <w:color w:val="131313"/>
          <w:sz w:val="22"/>
          <w:szCs w:val="22"/>
          <w:lang w:val="en-GR" w:eastAsia="en-GB"/>
        </w:rPr>
        <w:t>Qatari Real Estate Investment Company QSC (Κατάρ)</w:t>
      </w:r>
    </w:p>
    <w:p w14:paraId="1269DC42" w14:textId="77777777" w:rsidR="00296428" w:rsidRPr="00296428" w:rsidRDefault="00296428" w:rsidP="00296428">
      <w:pPr>
        <w:numPr>
          <w:ilvl w:val="0"/>
          <w:numId w:val="11"/>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296428">
        <w:rPr>
          <w:rFonts w:ascii="Arial" w:eastAsia="Times New Roman" w:hAnsi="Arial" w:cs="Times New Roman"/>
          <w:color w:val="131313"/>
          <w:sz w:val="22"/>
          <w:szCs w:val="22"/>
          <w:lang w:val="en-GR" w:eastAsia="en-GB"/>
        </w:rPr>
        <w:t>Sovinyon/Air Services International Limited FZE/Varangis Qatar LLC   (κοινοπραξία εταιρειών) (Κατάρ)</w:t>
      </w:r>
    </w:p>
    <w:p w14:paraId="0233930B" w14:textId="77777777" w:rsidR="00296428" w:rsidRPr="00296428" w:rsidRDefault="00296428" w:rsidP="00296428">
      <w:pPr>
        <w:numPr>
          <w:ilvl w:val="0"/>
          <w:numId w:val="11"/>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296428">
        <w:rPr>
          <w:rFonts w:ascii="Arial" w:eastAsia="Times New Roman" w:hAnsi="Arial" w:cs="Times New Roman"/>
          <w:color w:val="131313"/>
          <w:sz w:val="22"/>
          <w:szCs w:val="22"/>
          <w:lang w:val="en-GR" w:eastAsia="en-GB"/>
        </w:rPr>
        <w:t>Trump Acquisition LLC. (Ηνωμένες Πολιτείες Αμερικής)</w:t>
      </w:r>
    </w:p>
    <w:p w14:paraId="0F9CAFEA" w14:textId="77777777" w:rsidR="00296428" w:rsidRPr="00296428" w:rsidRDefault="00296428" w:rsidP="00296428">
      <w:pPr>
        <w:shd w:val="clear" w:color="auto" w:fill="FFFFFF"/>
        <w:spacing w:after="210"/>
        <w:rPr>
          <w:rFonts w:ascii="Arial" w:eastAsia="Times New Roman" w:hAnsi="Arial" w:cs="Times New Roman"/>
          <w:color w:val="131313"/>
          <w:sz w:val="22"/>
          <w:szCs w:val="22"/>
          <w:lang w:val="en-GR" w:eastAsia="en-GB"/>
        </w:rPr>
      </w:pPr>
      <w:r w:rsidRPr="00296428">
        <w:rPr>
          <w:rFonts w:ascii="Arial" w:eastAsia="Times New Roman" w:hAnsi="Arial" w:cs="Times New Roman"/>
          <w:b/>
          <w:bCs/>
          <w:color w:val="131313"/>
          <w:sz w:val="22"/>
          <w:szCs w:val="22"/>
          <w:lang w:val="en-GR" w:eastAsia="en-GB"/>
        </w:rPr>
        <w:t>Β’ Φάση</w:t>
      </w:r>
    </w:p>
    <w:p w14:paraId="09157037" w14:textId="77777777" w:rsidR="00296428" w:rsidRPr="00296428" w:rsidRDefault="00296428" w:rsidP="00296428">
      <w:pPr>
        <w:shd w:val="clear" w:color="auto" w:fill="FFFFFF"/>
        <w:spacing w:after="210"/>
        <w:rPr>
          <w:rFonts w:ascii="Arial" w:eastAsia="Times New Roman" w:hAnsi="Arial" w:cs="Times New Roman"/>
          <w:color w:val="131313"/>
          <w:sz w:val="22"/>
          <w:szCs w:val="22"/>
          <w:lang w:val="en-GR" w:eastAsia="en-GB"/>
        </w:rPr>
      </w:pPr>
      <w:r w:rsidRPr="00296428">
        <w:rPr>
          <w:rFonts w:ascii="Arial" w:eastAsia="Times New Roman" w:hAnsi="Arial" w:cs="Times New Roman"/>
          <w:color w:val="131313"/>
          <w:sz w:val="22"/>
          <w:szCs w:val="22"/>
          <w:lang w:val="en-GR" w:eastAsia="en-GB"/>
        </w:rPr>
        <w:lastRenderedPageBreak/>
        <w:t>Από τους συνολικά 9 ενδιαφερόμενους επενδυτές, κρίθηκε ότι οι 4 πληρούσαν τα κριτήρια προεπιλογής, προκειμένου να συμμετάσχουν στη Β’ φάση. Πιο συγκεκριμένα επιλέχθηκαν οι εταιρείες α) Elbit Cochin Island Ltd, β) L&amp;R London and Regional Group Holdings Limited, γ) Lamda Development S.A., δ) Qatari Real Estate Investment Company QSC.</w:t>
      </w:r>
    </w:p>
    <w:p w14:paraId="167EAE0C" w14:textId="77777777" w:rsidR="00296428" w:rsidRPr="00296428" w:rsidRDefault="00296428" w:rsidP="00296428">
      <w:pPr>
        <w:shd w:val="clear" w:color="auto" w:fill="FFFFFF"/>
        <w:spacing w:after="210"/>
        <w:rPr>
          <w:rFonts w:ascii="Arial" w:eastAsia="Times New Roman" w:hAnsi="Arial" w:cs="Times New Roman"/>
          <w:color w:val="131313"/>
          <w:sz w:val="22"/>
          <w:szCs w:val="22"/>
          <w:lang w:val="en-GR" w:eastAsia="en-GB"/>
        </w:rPr>
      </w:pPr>
      <w:r w:rsidRPr="00296428">
        <w:rPr>
          <w:rFonts w:ascii="Arial" w:eastAsia="Times New Roman" w:hAnsi="Arial" w:cs="Times New Roman"/>
          <w:color w:val="131313"/>
          <w:sz w:val="22"/>
          <w:szCs w:val="22"/>
          <w:lang w:val="en-GR" w:eastAsia="en-GB"/>
        </w:rPr>
        <w:t>Από τους 4 ενδιαφερόμενους επενδυτές, δεσμευτική προσφορά υπέβαλε μόνο η Lamda Development S.A.</w:t>
      </w:r>
    </w:p>
    <w:p w14:paraId="14E7C174" w14:textId="77777777" w:rsidR="00296428" w:rsidRPr="00296428" w:rsidRDefault="00296428" w:rsidP="00296428">
      <w:pPr>
        <w:shd w:val="clear" w:color="auto" w:fill="FFFFFF"/>
        <w:spacing w:after="210"/>
        <w:rPr>
          <w:rFonts w:ascii="Arial" w:eastAsia="Times New Roman" w:hAnsi="Arial" w:cs="Times New Roman"/>
          <w:color w:val="131313"/>
          <w:sz w:val="22"/>
          <w:szCs w:val="22"/>
          <w:lang w:val="en-GR" w:eastAsia="en-GB"/>
        </w:rPr>
      </w:pPr>
      <w:r w:rsidRPr="00296428">
        <w:rPr>
          <w:rFonts w:ascii="Arial" w:eastAsia="Times New Roman" w:hAnsi="Arial" w:cs="Times New Roman"/>
          <w:color w:val="131313"/>
          <w:sz w:val="22"/>
          <w:szCs w:val="22"/>
          <w:lang w:val="en-GR" w:eastAsia="en-GB"/>
        </w:rPr>
        <w:t>Στις 26 Μαρτίου 2014 αποσφραγίστηκε η βελτιωμένη προσφορά της Lamda Development. Το ΤΑΙΠΕΔ επέλεξε την εταιρεία ως «αγοραστή».</w:t>
      </w:r>
    </w:p>
    <w:p w14:paraId="19F5305F" w14:textId="77777777" w:rsidR="00296428" w:rsidRPr="00296428" w:rsidRDefault="00296428" w:rsidP="00296428">
      <w:pPr>
        <w:numPr>
          <w:ilvl w:val="0"/>
          <w:numId w:val="12"/>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296428">
        <w:rPr>
          <w:rFonts w:ascii="Arial" w:eastAsia="Times New Roman" w:hAnsi="Arial" w:cs="Times New Roman"/>
          <w:color w:val="131313"/>
          <w:sz w:val="22"/>
          <w:szCs w:val="22"/>
          <w:u w:val="single"/>
          <w:lang w:val="en-GR" w:eastAsia="en-GB"/>
        </w:rPr>
        <w:t>Τίμημα και Επενδυτικές υποχρεώσεις</w:t>
      </w:r>
    </w:p>
    <w:p w14:paraId="6E4D6CF3" w14:textId="77777777" w:rsidR="00296428" w:rsidRPr="00296428" w:rsidRDefault="00296428" w:rsidP="00296428">
      <w:pPr>
        <w:shd w:val="clear" w:color="auto" w:fill="FFFFFF"/>
        <w:spacing w:after="210"/>
        <w:rPr>
          <w:rFonts w:ascii="Arial" w:eastAsia="Times New Roman" w:hAnsi="Arial" w:cs="Times New Roman"/>
          <w:color w:val="131313"/>
          <w:sz w:val="22"/>
          <w:szCs w:val="22"/>
          <w:lang w:val="en-GR" w:eastAsia="en-GB"/>
        </w:rPr>
      </w:pPr>
      <w:r w:rsidRPr="00296428">
        <w:rPr>
          <w:rFonts w:ascii="Arial" w:eastAsia="Times New Roman" w:hAnsi="Arial" w:cs="Times New Roman"/>
          <w:color w:val="131313"/>
          <w:sz w:val="22"/>
          <w:szCs w:val="22"/>
          <w:lang w:val="en-GR" w:eastAsia="en-GB"/>
        </w:rPr>
        <w:t>Το τίμημα για την αγορά των μετοχών βάσει της υπογεγραμμένης σύμβασης ανέρχεται σε €915.000.000.  Από πλευράς οφέλους για το Ελληνικό Δημόσιο σε αυτό το ποσό πρέπει προστεθεί και το ποσό ύψους €1.500.000.000 που είναι ο ενδεικτικός προϋπολογισμός για τα έργα υποδομής, με αποτέλεσμα το συνολικό όφελος για το Ελληνικό Δημόσιο να ανέρχεται στα €2.400.000.000.</w:t>
      </w:r>
    </w:p>
    <w:p w14:paraId="2B598836" w14:textId="77777777" w:rsidR="00296428" w:rsidRPr="00296428" w:rsidRDefault="00296428" w:rsidP="00296428">
      <w:pPr>
        <w:shd w:val="clear" w:color="auto" w:fill="FFFFFF"/>
        <w:spacing w:after="210"/>
        <w:rPr>
          <w:rFonts w:ascii="Arial" w:eastAsia="Times New Roman" w:hAnsi="Arial" w:cs="Times New Roman"/>
          <w:color w:val="131313"/>
          <w:sz w:val="22"/>
          <w:szCs w:val="22"/>
          <w:lang w:val="en-GR" w:eastAsia="en-GB"/>
        </w:rPr>
      </w:pPr>
      <w:r w:rsidRPr="00296428">
        <w:rPr>
          <w:rFonts w:ascii="Arial" w:eastAsia="Times New Roman" w:hAnsi="Arial" w:cs="Times New Roman"/>
          <w:color w:val="131313"/>
          <w:sz w:val="22"/>
          <w:szCs w:val="22"/>
          <w:lang w:val="en-GR" w:eastAsia="en-GB"/>
        </w:rPr>
        <w:t>Να σημειωθεί ότι το σύνολο της επένδυσης, θα ξεπερνάει τα ανωτέρω συμβατικά ποσά και εκτιμάται ότι θα ανέλθει στα €8.000.000.000.</w:t>
      </w:r>
    </w:p>
    <w:p w14:paraId="24CB42AE" w14:textId="77777777" w:rsidR="00296428" w:rsidRPr="00296428" w:rsidRDefault="00296428" w:rsidP="00296428">
      <w:pPr>
        <w:shd w:val="clear" w:color="auto" w:fill="FFFFFF"/>
        <w:spacing w:after="210"/>
        <w:rPr>
          <w:rFonts w:ascii="Arial" w:eastAsia="Times New Roman" w:hAnsi="Arial" w:cs="Times New Roman"/>
          <w:color w:val="131313"/>
          <w:sz w:val="22"/>
          <w:szCs w:val="22"/>
          <w:lang w:val="en-GR" w:eastAsia="en-GB"/>
        </w:rPr>
      </w:pPr>
      <w:r w:rsidRPr="00296428">
        <w:rPr>
          <w:rFonts w:ascii="Arial" w:eastAsia="Times New Roman" w:hAnsi="Arial" w:cs="Times New Roman"/>
          <w:color w:val="131313"/>
          <w:sz w:val="22"/>
          <w:szCs w:val="22"/>
          <w:lang w:val="en-GR" w:eastAsia="en-GB"/>
        </w:rPr>
        <w:t>Η σύμβαση προβλέπει, επίσης, τη συμμετοχή του ΤΑΙΠΕΔ στα μελλοντικά οικονομικά οφέλη από την υλοποίηση της επένδυσης.</w:t>
      </w:r>
    </w:p>
    <w:p w14:paraId="24C9D67E" w14:textId="77777777" w:rsidR="00296428" w:rsidRPr="00296428" w:rsidRDefault="00296428" w:rsidP="00296428">
      <w:pPr>
        <w:shd w:val="clear" w:color="auto" w:fill="FFFFFF"/>
        <w:spacing w:after="210"/>
        <w:rPr>
          <w:rFonts w:ascii="Arial" w:eastAsia="Times New Roman" w:hAnsi="Arial" w:cs="Times New Roman"/>
          <w:color w:val="131313"/>
          <w:sz w:val="22"/>
          <w:szCs w:val="22"/>
          <w:lang w:val="en-GR" w:eastAsia="en-GB"/>
        </w:rPr>
      </w:pPr>
      <w:r w:rsidRPr="00296428">
        <w:rPr>
          <w:rFonts w:ascii="Arial" w:eastAsia="Times New Roman" w:hAnsi="Arial" w:cs="Times New Roman"/>
          <w:color w:val="131313"/>
          <w:sz w:val="22"/>
          <w:szCs w:val="22"/>
          <w:lang w:val="en-GR" w:eastAsia="en-GB"/>
        </w:rPr>
        <w:t>O επενδυτής θα καταβάλλει κάθε δυνατή προσπάθεια προκειμένου οι υποχρεώσεις για την υλοποίηση επενδύσεων να έχουν ολοκληρωθεί κατά 80% σε διάστημα 12 ετών από την ημερομηνία μεταβίβασης των μετοχών.</w:t>
      </w:r>
    </w:p>
    <w:p w14:paraId="6E366BF9" w14:textId="77777777" w:rsidR="00296428" w:rsidRPr="00296428" w:rsidRDefault="00296428" w:rsidP="00296428">
      <w:pPr>
        <w:shd w:val="clear" w:color="auto" w:fill="FFFFFF"/>
        <w:spacing w:after="210"/>
        <w:rPr>
          <w:rFonts w:ascii="Arial" w:eastAsia="Times New Roman" w:hAnsi="Arial" w:cs="Times New Roman"/>
          <w:color w:val="131313"/>
          <w:sz w:val="22"/>
          <w:szCs w:val="22"/>
          <w:lang w:val="en-GR" w:eastAsia="en-GB"/>
        </w:rPr>
      </w:pPr>
      <w:r w:rsidRPr="00296428">
        <w:rPr>
          <w:rFonts w:ascii="Arial" w:eastAsia="Times New Roman" w:hAnsi="Arial" w:cs="Times New Roman"/>
          <w:color w:val="131313"/>
          <w:sz w:val="22"/>
          <w:szCs w:val="22"/>
          <w:lang w:val="en-GR" w:eastAsia="en-GB"/>
        </w:rPr>
        <w:t>Μέρος των υποχρεώσεων που έχει αναλάβει η εταιρεία αφορά σε έργα ευρύτερου ενδιαφέροντος, όπως:</w:t>
      </w:r>
    </w:p>
    <w:p w14:paraId="38D9253F" w14:textId="77777777" w:rsidR="00296428" w:rsidRPr="00296428" w:rsidRDefault="00296428" w:rsidP="00296428">
      <w:pPr>
        <w:numPr>
          <w:ilvl w:val="0"/>
          <w:numId w:val="13"/>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296428">
        <w:rPr>
          <w:rFonts w:ascii="Arial" w:eastAsia="Times New Roman" w:hAnsi="Arial" w:cs="Times New Roman"/>
          <w:color w:val="131313"/>
          <w:sz w:val="22"/>
          <w:szCs w:val="22"/>
          <w:lang w:val="en-GR" w:eastAsia="en-GB"/>
        </w:rPr>
        <w:t>Δημιουργία, συντήρηση και ασφάλεια του Μητροπολιτικού Πάρκου 2.000 στρεμμάτων,</w:t>
      </w:r>
    </w:p>
    <w:p w14:paraId="7D76AA0A" w14:textId="77777777" w:rsidR="00296428" w:rsidRPr="00296428" w:rsidRDefault="00296428" w:rsidP="00296428">
      <w:pPr>
        <w:numPr>
          <w:ilvl w:val="0"/>
          <w:numId w:val="13"/>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296428">
        <w:rPr>
          <w:rFonts w:ascii="Arial" w:eastAsia="Times New Roman" w:hAnsi="Arial" w:cs="Times New Roman"/>
          <w:color w:val="131313"/>
          <w:sz w:val="22"/>
          <w:szCs w:val="22"/>
          <w:lang w:val="en-GR" w:eastAsia="en-GB"/>
        </w:rPr>
        <w:t>Δημιουργία επιπλέον χώρων πρασίνου και ανοιχτών χώρων 600 στρεμμάτων,</w:t>
      </w:r>
    </w:p>
    <w:p w14:paraId="4C663EC3" w14:textId="77777777" w:rsidR="00296428" w:rsidRPr="00296428" w:rsidRDefault="00296428" w:rsidP="00296428">
      <w:pPr>
        <w:numPr>
          <w:ilvl w:val="0"/>
          <w:numId w:val="13"/>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296428">
        <w:rPr>
          <w:rFonts w:ascii="Arial" w:eastAsia="Times New Roman" w:hAnsi="Arial" w:cs="Times New Roman"/>
          <w:color w:val="131313"/>
          <w:sz w:val="22"/>
          <w:szCs w:val="22"/>
          <w:lang w:val="en-GR" w:eastAsia="en-GB"/>
        </w:rPr>
        <w:t>Απόδοση 300 στρεμμάτων για κοινωφελείς δραστηριότητες</w:t>
      </w:r>
    </w:p>
    <w:p w14:paraId="0982A5DF" w14:textId="77777777" w:rsidR="00296428" w:rsidRPr="00296428" w:rsidRDefault="00296428" w:rsidP="00296428">
      <w:pPr>
        <w:numPr>
          <w:ilvl w:val="0"/>
          <w:numId w:val="13"/>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296428">
        <w:rPr>
          <w:rFonts w:ascii="Arial" w:eastAsia="Times New Roman" w:hAnsi="Arial" w:cs="Times New Roman"/>
          <w:color w:val="131313"/>
          <w:sz w:val="22"/>
          <w:szCs w:val="22"/>
          <w:lang w:val="en-GR" w:eastAsia="en-GB"/>
        </w:rPr>
        <w:t>Πρωτεύουσες συγκοινωνιακές υποδομές και εγκαταστάσεις</w:t>
      </w:r>
    </w:p>
    <w:p w14:paraId="7422061E" w14:textId="77777777" w:rsidR="00296428" w:rsidRPr="00296428" w:rsidRDefault="00296428" w:rsidP="00296428">
      <w:pPr>
        <w:numPr>
          <w:ilvl w:val="0"/>
          <w:numId w:val="13"/>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296428">
        <w:rPr>
          <w:rFonts w:ascii="Arial" w:eastAsia="Times New Roman" w:hAnsi="Arial" w:cs="Times New Roman"/>
          <w:color w:val="131313"/>
          <w:sz w:val="22"/>
          <w:szCs w:val="22"/>
          <w:lang w:val="en-GR" w:eastAsia="en-GB"/>
        </w:rPr>
        <w:t>Κύριες εγκαταστάσεις και δίκτυα κοινής ωφέλειας</w:t>
      </w:r>
    </w:p>
    <w:p w14:paraId="5851B03F" w14:textId="77777777" w:rsidR="00296428" w:rsidRPr="00296428" w:rsidRDefault="00296428" w:rsidP="00296428">
      <w:pPr>
        <w:numPr>
          <w:ilvl w:val="0"/>
          <w:numId w:val="13"/>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296428">
        <w:rPr>
          <w:rFonts w:ascii="Arial" w:eastAsia="Times New Roman" w:hAnsi="Arial" w:cs="Times New Roman"/>
          <w:color w:val="131313"/>
          <w:sz w:val="22"/>
          <w:szCs w:val="22"/>
          <w:lang w:val="en-GR" w:eastAsia="en-GB"/>
        </w:rPr>
        <w:t>Κέντρο διαλογής ανακυκλώσιμων υλικών, σταθμός μεταφόρτωσης απορριμμάτων και χώρος μεταφόρτωσης/ προσωρινής αποθήκευσης ανακυκλώσιμων προϊόντων στο Ακίνητο για τη διαχείριση των απορριμμάτων του.</w:t>
      </w:r>
    </w:p>
    <w:p w14:paraId="50E34AC2" w14:textId="77777777" w:rsidR="00296428" w:rsidRPr="00296428" w:rsidRDefault="00296428" w:rsidP="00296428">
      <w:pPr>
        <w:numPr>
          <w:ilvl w:val="0"/>
          <w:numId w:val="13"/>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296428">
        <w:rPr>
          <w:rFonts w:ascii="Arial" w:eastAsia="Times New Roman" w:hAnsi="Arial" w:cs="Times New Roman"/>
          <w:color w:val="131313"/>
          <w:sz w:val="22"/>
          <w:szCs w:val="22"/>
          <w:lang w:val="en-GR" w:eastAsia="en-GB"/>
        </w:rPr>
        <w:t>Απαιτούμενα λιμενικά έργα</w:t>
      </w:r>
    </w:p>
    <w:p w14:paraId="3AB7E791" w14:textId="77777777" w:rsidR="00296428" w:rsidRPr="00296428" w:rsidRDefault="00296428" w:rsidP="00296428">
      <w:pPr>
        <w:numPr>
          <w:ilvl w:val="0"/>
          <w:numId w:val="13"/>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296428">
        <w:rPr>
          <w:rFonts w:ascii="Arial" w:eastAsia="Times New Roman" w:hAnsi="Arial" w:cs="Times New Roman"/>
          <w:color w:val="131313"/>
          <w:sz w:val="22"/>
          <w:szCs w:val="22"/>
          <w:lang w:val="en-GR" w:eastAsia="en-GB"/>
        </w:rPr>
        <w:t>Παράκαμψη και υπογειοποίηση τμήματος της Λεωφόρος Ποσειδώνος</w:t>
      </w:r>
    </w:p>
    <w:p w14:paraId="3C3B7F84" w14:textId="77777777" w:rsidR="00296428" w:rsidRPr="00296428" w:rsidRDefault="00296428" w:rsidP="00296428">
      <w:pPr>
        <w:numPr>
          <w:ilvl w:val="0"/>
          <w:numId w:val="13"/>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296428">
        <w:rPr>
          <w:rFonts w:ascii="Arial" w:eastAsia="Times New Roman" w:hAnsi="Arial" w:cs="Times New Roman"/>
          <w:color w:val="131313"/>
          <w:sz w:val="22"/>
          <w:szCs w:val="22"/>
          <w:lang w:val="en-GR" w:eastAsia="en-GB"/>
        </w:rPr>
        <w:t>Έργα ανασύστασης και διευθέτησης των ρεμάτων</w:t>
      </w:r>
    </w:p>
    <w:p w14:paraId="5197BCA0" w14:textId="77777777" w:rsidR="00296428" w:rsidRPr="00296428" w:rsidRDefault="00296428" w:rsidP="00296428">
      <w:pPr>
        <w:numPr>
          <w:ilvl w:val="0"/>
          <w:numId w:val="13"/>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296428">
        <w:rPr>
          <w:rFonts w:ascii="Arial" w:eastAsia="Times New Roman" w:hAnsi="Arial" w:cs="Times New Roman"/>
          <w:color w:val="131313"/>
          <w:sz w:val="22"/>
          <w:szCs w:val="22"/>
          <w:lang w:val="en-GR" w:eastAsia="en-GB"/>
        </w:rPr>
        <w:t>Εκτεταμένο Δίκτυο πεζοδρόμων και ποδηλατοδρόμων εκτιμώμενου μήκους περίπου πενήντα (50) χιλιομέτρων</w:t>
      </w:r>
    </w:p>
    <w:p w14:paraId="452C1F84" w14:textId="77777777" w:rsidR="00296428" w:rsidRPr="00296428" w:rsidRDefault="00296428" w:rsidP="00296428">
      <w:pPr>
        <w:numPr>
          <w:ilvl w:val="0"/>
          <w:numId w:val="13"/>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296428">
        <w:rPr>
          <w:rFonts w:ascii="Arial" w:eastAsia="Times New Roman" w:hAnsi="Arial" w:cs="Times New Roman"/>
          <w:color w:val="131313"/>
          <w:sz w:val="22"/>
          <w:szCs w:val="22"/>
          <w:lang w:val="en-GR" w:eastAsia="en-GB"/>
        </w:rPr>
        <w:t>Ανάληψη του 50% του κόστους μελέτης και κατασκευής κέντρου διαλογής ανακυκλώσιμων υλικών, σταθμού μεταμόρφωσης απορριμμάτων και χώρου μεταφόρτωσης/ προσωρινής αποθήκευσης ανακυκλώσιμων προϊόντων σε περιοχή εκτός του ακινήτου υπό προϋποθέσεις</w:t>
      </w:r>
    </w:p>
    <w:p w14:paraId="48C1D92E" w14:textId="77777777" w:rsidR="00296428" w:rsidRPr="00296428" w:rsidRDefault="00296428" w:rsidP="00296428">
      <w:pPr>
        <w:numPr>
          <w:ilvl w:val="0"/>
          <w:numId w:val="13"/>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296428">
        <w:rPr>
          <w:rFonts w:ascii="Arial" w:eastAsia="Times New Roman" w:hAnsi="Arial" w:cs="Times New Roman"/>
          <w:color w:val="131313"/>
          <w:sz w:val="22"/>
          <w:szCs w:val="22"/>
          <w:lang w:val="en-GR" w:eastAsia="en-GB"/>
        </w:rPr>
        <w:t>Ενίσχυση της συνδεσιμότητας μέσων σταθερής τροχιάς</w:t>
      </w:r>
    </w:p>
    <w:p w14:paraId="4FB58576" w14:textId="77777777" w:rsidR="00296428" w:rsidRPr="00296428" w:rsidRDefault="00296428" w:rsidP="00296428">
      <w:pPr>
        <w:numPr>
          <w:ilvl w:val="0"/>
          <w:numId w:val="13"/>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296428">
        <w:rPr>
          <w:rFonts w:ascii="Arial" w:eastAsia="Times New Roman" w:hAnsi="Arial" w:cs="Times New Roman"/>
          <w:color w:val="131313"/>
          <w:sz w:val="22"/>
          <w:szCs w:val="22"/>
          <w:lang w:val="en-GR" w:eastAsia="en-GB"/>
        </w:rPr>
        <w:t>Υλοποίηση του μεγαλύτερου μέρους των πολιτιστικών και αθλητικών χρήσεων εντός του Μητροπολιτικού Πάρκου</w:t>
      </w:r>
    </w:p>
    <w:p w14:paraId="01CDF236" w14:textId="77777777" w:rsidR="00296428" w:rsidRPr="00296428" w:rsidRDefault="00296428" w:rsidP="00296428">
      <w:pPr>
        <w:numPr>
          <w:ilvl w:val="0"/>
          <w:numId w:val="13"/>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296428">
        <w:rPr>
          <w:rFonts w:ascii="Arial" w:eastAsia="Times New Roman" w:hAnsi="Arial" w:cs="Times New Roman"/>
          <w:color w:val="131313"/>
          <w:sz w:val="22"/>
          <w:szCs w:val="22"/>
          <w:lang w:val="en-GR" w:eastAsia="en-GB"/>
        </w:rPr>
        <w:t>Αναπαλαίωση, λειτουργία και ανάδειξη των διατηρητέων κτηρίων εντός του ακινήτου</w:t>
      </w:r>
    </w:p>
    <w:p w14:paraId="54D1BC23" w14:textId="77777777" w:rsidR="00296428" w:rsidRPr="00296428" w:rsidRDefault="00296428" w:rsidP="00296428">
      <w:pPr>
        <w:numPr>
          <w:ilvl w:val="0"/>
          <w:numId w:val="13"/>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296428">
        <w:rPr>
          <w:rFonts w:ascii="Arial" w:eastAsia="Times New Roman" w:hAnsi="Arial" w:cs="Times New Roman"/>
          <w:color w:val="131313"/>
          <w:sz w:val="22"/>
          <w:szCs w:val="22"/>
          <w:lang w:val="en-GR" w:eastAsia="en-GB"/>
        </w:rPr>
        <w:lastRenderedPageBreak/>
        <w:t>Δημιουργία χώρων στέγασης των σωματείων ΑΜΕΑ εντός του Ακινήτου με αντίστοιχες των σημερινών προδιαγραφές</w:t>
      </w:r>
    </w:p>
    <w:p w14:paraId="0D2B5F3D" w14:textId="77777777" w:rsidR="00296428" w:rsidRPr="00296428" w:rsidRDefault="00296428" w:rsidP="00296428">
      <w:pPr>
        <w:numPr>
          <w:ilvl w:val="0"/>
          <w:numId w:val="13"/>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296428">
        <w:rPr>
          <w:rFonts w:ascii="Arial" w:eastAsia="Times New Roman" w:hAnsi="Arial" w:cs="Times New Roman"/>
          <w:color w:val="131313"/>
          <w:sz w:val="22"/>
          <w:szCs w:val="22"/>
          <w:lang w:val="en-GR" w:eastAsia="en-GB"/>
        </w:rPr>
        <w:t>Ανάπλαση και αναβάθμιση της παραλίας σε μήκος 1 χλμ. περίπου</w:t>
      </w:r>
    </w:p>
    <w:p w14:paraId="53F16D71" w14:textId="77777777" w:rsidR="00296428" w:rsidRPr="00296428" w:rsidRDefault="00296428" w:rsidP="00296428">
      <w:pPr>
        <w:numPr>
          <w:ilvl w:val="0"/>
          <w:numId w:val="14"/>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296428">
        <w:rPr>
          <w:rFonts w:ascii="Arial" w:eastAsia="Times New Roman" w:hAnsi="Arial" w:cs="Times New Roman"/>
          <w:color w:val="131313"/>
          <w:sz w:val="22"/>
          <w:szCs w:val="22"/>
          <w:u w:val="single"/>
          <w:lang w:val="en-GR" w:eastAsia="en-GB"/>
        </w:rPr>
        <w:t>Έλεγχος Νομιμότητας και Υπογραφή Σύμβασης</w:t>
      </w:r>
    </w:p>
    <w:p w14:paraId="7000706C" w14:textId="77777777" w:rsidR="00296428" w:rsidRPr="00296428" w:rsidRDefault="00296428" w:rsidP="00296428">
      <w:pPr>
        <w:shd w:val="clear" w:color="auto" w:fill="FFFFFF"/>
        <w:spacing w:after="210"/>
        <w:rPr>
          <w:rFonts w:ascii="Arial" w:eastAsia="Times New Roman" w:hAnsi="Arial" w:cs="Times New Roman"/>
          <w:color w:val="131313"/>
          <w:sz w:val="22"/>
          <w:szCs w:val="22"/>
          <w:lang w:val="en-GR" w:eastAsia="en-GB"/>
        </w:rPr>
      </w:pPr>
      <w:r w:rsidRPr="00296428">
        <w:rPr>
          <w:rFonts w:ascii="Arial" w:eastAsia="Times New Roman" w:hAnsi="Arial" w:cs="Times New Roman"/>
          <w:color w:val="131313"/>
          <w:sz w:val="22"/>
          <w:szCs w:val="22"/>
          <w:lang w:val="en-GR" w:eastAsia="en-GB"/>
        </w:rPr>
        <w:t>Η διαγωνιστική διαδικασία, αλλά και το σχέδιο σύμβασης υποβλήθηκαν στον προ συμβατικό έλεγχο νομιμότητας του Ελεγκτικού Συνεδρίου.</w:t>
      </w:r>
    </w:p>
    <w:p w14:paraId="5BE5E069" w14:textId="77777777" w:rsidR="00296428" w:rsidRPr="00296428" w:rsidRDefault="00296428" w:rsidP="00296428">
      <w:pPr>
        <w:shd w:val="clear" w:color="auto" w:fill="FFFFFF"/>
        <w:spacing w:after="210"/>
        <w:rPr>
          <w:rFonts w:ascii="Arial" w:eastAsia="Times New Roman" w:hAnsi="Arial" w:cs="Times New Roman"/>
          <w:color w:val="131313"/>
          <w:sz w:val="22"/>
          <w:szCs w:val="22"/>
          <w:lang w:val="en-GR" w:eastAsia="en-GB"/>
        </w:rPr>
      </w:pPr>
      <w:r w:rsidRPr="00296428">
        <w:rPr>
          <w:rFonts w:ascii="Arial" w:eastAsia="Times New Roman" w:hAnsi="Arial" w:cs="Times New Roman"/>
          <w:color w:val="131313"/>
          <w:sz w:val="22"/>
          <w:szCs w:val="22"/>
          <w:lang w:val="en-GR" w:eastAsia="en-GB"/>
        </w:rPr>
        <w:t>To VI Τμήμα του Ελεγκτικού Συνεδρίου εξέδωσε απόφαση με την οποία διαπιστώθηκε ότι δεν υπήρχε κώλυμα στην υπογραφή του σχεδίου σύμβασης. Η απόφαση επικυρώθηκε με τρεις αποφάσεις (υπ’ αριθμ. 1183/2015, 1184/2015 και 1185/2015) του Τμήματος Μείζονος (7μερούς) Σύνθεσης του Ελεγκτικού Συνεδρίου.</w:t>
      </w:r>
    </w:p>
    <w:p w14:paraId="1CDEFBAE" w14:textId="77777777" w:rsidR="00296428" w:rsidRPr="00296428" w:rsidRDefault="00296428" w:rsidP="00296428">
      <w:pPr>
        <w:shd w:val="clear" w:color="auto" w:fill="FFFFFF"/>
        <w:spacing w:after="210"/>
        <w:rPr>
          <w:rFonts w:ascii="Arial" w:eastAsia="Times New Roman" w:hAnsi="Arial" w:cs="Times New Roman"/>
          <w:color w:val="131313"/>
          <w:sz w:val="22"/>
          <w:szCs w:val="22"/>
          <w:lang w:val="en-GR" w:eastAsia="en-GB"/>
        </w:rPr>
      </w:pPr>
      <w:r w:rsidRPr="00296428">
        <w:rPr>
          <w:rFonts w:ascii="Arial" w:eastAsia="Times New Roman" w:hAnsi="Arial" w:cs="Times New Roman"/>
          <w:color w:val="131313"/>
          <w:sz w:val="22"/>
          <w:szCs w:val="22"/>
          <w:lang w:val="en-GR" w:eastAsia="en-GB"/>
        </w:rPr>
        <w:t>Παράλληλα, η Ολομέλεια του Συμβουλίου της Επικρατείας μέσω τριών αποφάσεών του (υπ’ αριθμ. 1902/2014, 1903/2014 και 1905/2014) έκρινε ότι η μεταβίβαση των μετοχών της Ελληνικό Α.Ε. από το Ελληνικό Δημόσιο στο ΤΑΙΠΕΔ ήταν απολύτως νόμιμη.</w:t>
      </w:r>
    </w:p>
    <w:p w14:paraId="316A0C64" w14:textId="77777777" w:rsidR="00296428" w:rsidRPr="00296428" w:rsidRDefault="00296428" w:rsidP="00296428">
      <w:pPr>
        <w:shd w:val="clear" w:color="auto" w:fill="FFFFFF"/>
        <w:spacing w:after="210"/>
        <w:rPr>
          <w:rFonts w:ascii="Arial" w:eastAsia="Times New Roman" w:hAnsi="Arial" w:cs="Times New Roman"/>
          <w:color w:val="131313"/>
          <w:sz w:val="22"/>
          <w:szCs w:val="22"/>
          <w:lang w:val="en-GR" w:eastAsia="en-GB"/>
        </w:rPr>
      </w:pPr>
      <w:r w:rsidRPr="00296428">
        <w:rPr>
          <w:rFonts w:ascii="Arial" w:eastAsia="Times New Roman" w:hAnsi="Arial" w:cs="Times New Roman"/>
          <w:color w:val="131313"/>
          <w:sz w:val="22"/>
          <w:szCs w:val="22"/>
          <w:lang w:val="en-GR" w:eastAsia="en-GB"/>
        </w:rPr>
        <w:t>Με δύο ακόμη αποφάσεις της (υπ’ αριθμ. 2185/2014 και 2186/2014), η Ολομέλεια του Συμβουλίου της Επικρατείας απέρριψε τις αιτήσεις ακύρωσης που είχαν κατατεθεί κατά αποφάσεων της Διυπουργικής Επιτροπής Αναδιαρθρώσεων και Αποκρατικοποιήσεων.</w:t>
      </w:r>
    </w:p>
    <w:p w14:paraId="4C6A2B6C" w14:textId="77777777" w:rsidR="00296428" w:rsidRPr="00296428" w:rsidRDefault="00296428" w:rsidP="00296428">
      <w:pPr>
        <w:shd w:val="clear" w:color="auto" w:fill="FFFFFF"/>
        <w:spacing w:after="210"/>
        <w:rPr>
          <w:rFonts w:ascii="Arial" w:eastAsia="Times New Roman" w:hAnsi="Arial" w:cs="Times New Roman"/>
          <w:color w:val="131313"/>
          <w:sz w:val="22"/>
          <w:szCs w:val="22"/>
          <w:lang w:val="en-GR" w:eastAsia="en-GB"/>
        </w:rPr>
      </w:pPr>
      <w:r w:rsidRPr="00296428">
        <w:rPr>
          <w:rFonts w:ascii="Arial" w:eastAsia="Times New Roman" w:hAnsi="Arial" w:cs="Times New Roman"/>
          <w:color w:val="131313"/>
          <w:sz w:val="22"/>
          <w:szCs w:val="22"/>
          <w:lang w:val="en-GR" w:eastAsia="en-GB"/>
        </w:rPr>
        <w:t>Μετά από την έκδοση των αποφάσεων του Ελεγκτικού Συνεδρίου και της Ολομέλειας του Συμβουλίου της Επικρατείας, υπογράφηκε η σύμβαση αγοραπωλησίας (Σύμβαση Αγοραπωλησίας Μετοχών μεταξύ του ΤΑΙΠΕΔ, της «Hellinikon Global I S.A. και της Lamda Development (ως εγγυητής της Hellinikon Global I S.A.).</w:t>
      </w:r>
    </w:p>
    <w:p w14:paraId="2010B8EF" w14:textId="77777777" w:rsidR="00296428" w:rsidRPr="00296428" w:rsidRDefault="00296428" w:rsidP="00296428">
      <w:pPr>
        <w:shd w:val="clear" w:color="auto" w:fill="FFFFFF"/>
        <w:spacing w:after="210"/>
        <w:rPr>
          <w:rFonts w:ascii="Arial" w:eastAsia="Times New Roman" w:hAnsi="Arial" w:cs="Times New Roman"/>
          <w:color w:val="131313"/>
          <w:sz w:val="22"/>
          <w:szCs w:val="22"/>
          <w:lang w:val="en-GR" w:eastAsia="en-GB"/>
        </w:rPr>
      </w:pPr>
      <w:r w:rsidRPr="00296428">
        <w:rPr>
          <w:rFonts w:ascii="Arial" w:eastAsia="Times New Roman" w:hAnsi="Arial" w:cs="Times New Roman"/>
          <w:color w:val="131313"/>
          <w:sz w:val="22"/>
          <w:szCs w:val="22"/>
          <w:lang w:val="en-GR" w:eastAsia="en-GB"/>
        </w:rPr>
        <w:t>Το ελεγκτικό συνέδριο ενέκρινε, εκ νέου, και μετά την σύναψη της τροποποιητικής σύμβασης τον Ιούνιο του 2016, ότι δεν υπάρχει κώλυμα για την υπογραφή της.</w:t>
      </w:r>
    </w:p>
    <w:p w14:paraId="3C93757A" w14:textId="77777777" w:rsidR="00296428" w:rsidRPr="00296428" w:rsidRDefault="00296428" w:rsidP="00296428">
      <w:pPr>
        <w:numPr>
          <w:ilvl w:val="0"/>
          <w:numId w:val="15"/>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296428">
        <w:rPr>
          <w:rFonts w:ascii="Arial" w:eastAsia="Times New Roman" w:hAnsi="Arial" w:cs="Times New Roman"/>
          <w:color w:val="131313"/>
          <w:sz w:val="22"/>
          <w:szCs w:val="22"/>
          <w:u w:val="single"/>
          <w:lang w:val="en-GR" w:eastAsia="en-GB"/>
        </w:rPr>
        <w:t>Υπογραφή Τροποποιητικής Σύμβασης και Κύρωση από τη Βουλή των Ελλήνων</w:t>
      </w:r>
    </w:p>
    <w:p w14:paraId="000E9C32" w14:textId="77777777" w:rsidR="00296428" w:rsidRPr="00296428" w:rsidRDefault="00296428" w:rsidP="00296428">
      <w:pPr>
        <w:shd w:val="clear" w:color="auto" w:fill="FFFFFF"/>
        <w:spacing w:after="210"/>
        <w:rPr>
          <w:rFonts w:ascii="Arial" w:eastAsia="Times New Roman" w:hAnsi="Arial" w:cs="Times New Roman"/>
          <w:color w:val="131313"/>
          <w:sz w:val="22"/>
          <w:szCs w:val="22"/>
          <w:lang w:val="en-GR" w:eastAsia="en-GB"/>
        </w:rPr>
      </w:pPr>
      <w:r w:rsidRPr="00296428">
        <w:rPr>
          <w:rFonts w:ascii="Arial" w:eastAsia="Times New Roman" w:hAnsi="Arial" w:cs="Times New Roman"/>
          <w:color w:val="131313"/>
          <w:sz w:val="22"/>
          <w:szCs w:val="22"/>
          <w:lang w:val="en-GR" w:eastAsia="en-GB"/>
        </w:rPr>
        <w:t>Το 2016, το Κυβερνητικό Συμβούλιο Οικονομικής Πολιτικής ενέκρινε το Επιχειρησιακό Πρόγραμμα Αξιοποίησης του ΤΑΙΠΕΔ, βάσει του οποίου προβλεπόταν η σύναψη Μνημονίου Συναντίληψης (ΜΟU) μεταξύ των συμβαλλομένων στη σύμβαση.</w:t>
      </w:r>
    </w:p>
    <w:p w14:paraId="4B8AD998" w14:textId="77777777" w:rsidR="00296428" w:rsidRPr="00296428" w:rsidRDefault="00296428" w:rsidP="00296428">
      <w:pPr>
        <w:shd w:val="clear" w:color="auto" w:fill="FFFFFF"/>
        <w:spacing w:after="210"/>
        <w:rPr>
          <w:rFonts w:ascii="Arial" w:eastAsia="Times New Roman" w:hAnsi="Arial" w:cs="Times New Roman"/>
          <w:color w:val="131313"/>
          <w:sz w:val="22"/>
          <w:szCs w:val="22"/>
          <w:lang w:val="en-GR" w:eastAsia="en-GB"/>
        </w:rPr>
      </w:pPr>
      <w:r w:rsidRPr="00296428">
        <w:rPr>
          <w:rFonts w:ascii="Arial" w:eastAsia="Times New Roman" w:hAnsi="Arial" w:cs="Times New Roman"/>
          <w:color w:val="131313"/>
          <w:sz w:val="22"/>
          <w:szCs w:val="22"/>
          <w:lang w:val="en-GR" w:eastAsia="en-GB"/>
        </w:rPr>
        <w:t>Το ΤΑΙΠΕΔ προχώρησε στην υιοθέτηση τροποποιήσεων στην αρχική σύμβαση και στις 7 Ιουνίου 2016 το ΤΑΙΠΕΔ, η Hellinikon Global I S.A. και η Lamda Development (ως εγγυητής της Hellinikon Global I S.A.) συνυπέγραψαν το MOU με το οποίο συμφωνήθηκε η σύναψη τροποποιητικής σύμβασης.</w:t>
      </w:r>
    </w:p>
    <w:p w14:paraId="28CA753D" w14:textId="77777777" w:rsidR="00296428" w:rsidRPr="00296428" w:rsidRDefault="00296428" w:rsidP="00296428">
      <w:pPr>
        <w:shd w:val="clear" w:color="auto" w:fill="FFFFFF"/>
        <w:spacing w:after="210"/>
        <w:rPr>
          <w:rFonts w:ascii="Arial" w:eastAsia="Times New Roman" w:hAnsi="Arial" w:cs="Times New Roman"/>
          <w:color w:val="131313"/>
          <w:sz w:val="22"/>
          <w:szCs w:val="22"/>
          <w:lang w:val="en-GR" w:eastAsia="en-GB"/>
        </w:rPr>
      </w:pPr>
      <w:r w:rsidRPr="00296428">
        <w:rPr>
          <w:rFonts w:ascii="Arial" w:eastAsia="Times New Roman" w:hAnsi="Arial" w:cs="Times New Roman"/>
          <w:color w:val="131313"/>
          <w:sz w:val="22"/>
          <w:szCs w:val="22"/>
          <w:lang w:val="en-GR" w:eastAsia="en-GB"/>
        </w:rPr>
        <w:t>Με νέα απόφασή του, το Ελεγκτικό Συνέδριο έκρινε ότι δεν υπάρχει κώλυμα στην υπογραφή της τροποποιητικής σύμβασης, γεγονός που οδήγησε στην υπογραφή της τροποποιητικής σύμβασης στις 19 Ιουλίου 2016.</w:t>
      </w:r>
    </w:p>
    <w:p w14:paraId="7A005E2D" w14:textId="77777777" w:rsidR="00296428" w:rsidRPr="00296428" w:rsidRDefault="00296428" w:rsidP="00296428">
      <w:pPr>
        <w:shd w:val="clear" w:color="auto" w:fill="FFFFFF"/>
        <w:spacing w:after="210"/>
        <w:rPr>
          <w:rFonts w:ascii="Arial" w:eastAsia="Times New Roman" w:hAnsi="Arial" w:cs="Times New Roman"/>
          <w:color w:val="131313"/>
          <w:sz w:val="22"/>
          <w:szCs w:val="22"/>
          <w:lang w:val="en-GR" w:eastAsia="en-GB"/>
        </w:rPr>
      </w:pPr>
      <w:r w:rsidRPr="00296428">
        <w:rPr>
          <w:rFonts w:ascii="Arial" w:eastAsia="Times New Roman" w:hAnsi="Arial" w:cs="Times New Roman"/>
          <w:color w:val="131313"/>
          <w:sz w:val="22"/>
          <w:szCs w:val="22"/>
          <w:lang w:val="en-GR" w:eastAsia="en-GB"/>
        </w:rPr>
        <w:t>Τον Σεπτέμβριο του 2016 κυρώθηκε η αρχική και τροποποιητική σύμβαση από την Βουλή των Ελλήνων με ευρύτατη πλειοψηφία (θετική ψήφος άνω των 260 βουλευτών).</w:t>
      </w:r>
    </w:p>
    <w:p w14:paraId="7B29ED50" w14:textId="77777777" w:rsidR="00296428" w:rsidRPr="00296428" w:rsidRDefault="00296428" w:rsidP="00296428">
      <w:pPr>
        <w:numPr>
          <w:ilvl w:val="0"/>
          <w:numId w:val="16"/>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296428">
        <w:rPr>
          <w:rFonts w:ascii="Arial" w:eastAsia="Times New Roman" w:hAnsi="Arial" w:cs="Times New Roman"/>
          <w:color w:val="131313"/>
          <w:sz w:val="22"/>
          <w:szCs w:val="22"/>
          <w:u w:val="single"/>
          <w:lang w:val="en-GR" w:eastAsia="en-GB"/>
        </w:rPr>
        <w:t>Η έγκριση του Σχεδίου Ολοκληρωμένης Ανάπτυξης με Προεδρικό Διάταγμα</w:t>
      </w:r>
    </w:p>
    <w:p w14:paraId="128217C4" w14:textId="77777777" w:rsidR="00296428" w:rsidRPr="00296428" w:rsidRDefault="00296428" w:rsidP="00296428">
      <w:pPr>
        <w:shd w:val="clear" w:color="auto" w:fill="FFFFFF"/>
        <w:spacing w:after="210"/>
        <w:rPr>
          <w:rFonts w:ascii="Arial" w:eastAsia="Times New Roman" w:hAnsi="Arial" w:cs="Times New Roman"/>
          <w:color w:val="131313"/>
          <w:sz w:val="22"/>
          <w:szCs w:val="22"/>
          <w:lang w:val="en-GR" w:eastAsia="en-GB"/>
        </w:rPr>
      </w:pPr>
      <w:r w:rsidRPr="00296428">
        <w:rPr>
          <w:rFonts w:ascii="Arial" w:eastAsia="Times New Roman" w:hAnsi="Arial" w:cs="Times New Roman"/>
          <w:color w:val="131313"/>
          <w:sz w:val="22"/>
          <w:szCs w:val="22"/>
          <w:lang w:val="en-GR" w:eastAsia="en-GB"/>
        </w:rPr>
        <w:t xml:space="preserve">Το επόμενο βήμα στη διαδικασία είναι η έγκριση του Σχεδίου Ολοκληρωμένης Ανάπτυξης (ΣΟΑ) με Προεδρικό Διάταγμα, το οποίο προηγουμένως θα έχει επεξεργαστεί το Συμβούλιο της Επικρατείας. Μεταξύ των εγγράφων που συνοδεύουν το εν λόγω Σχέδιο είναι και η Στρατηγική Μελέτη Περιβαλλοντικών Επιπτώσεων, η οποία σύμφωνα με το νόμο δημοσιεύεται και τίθεται σε δημόσια διαβούλευση. Παράλληλα, γνώμη επί του Σχεδίου </w:t>
      </w:r>
      <w:r w:rsidRPr="00296428">
        <w:rPr>
          <w:rFonts w:ascii="Arial" w:eastAsia="Times New Roman" w:hAnsi="Arial" w:cs="Times New Roman"/>
          <w:color w:val="131313"/>
          <w:sz w:val="22"/>
          <w:szCs w:val="22"/>
          <w:lang w:val="en-GR" w:eastAsia="en-GB"/>
        </w:rPr>
        <w:lastRenderedPageBreak/>
        <w:t>υποβάλλει η Ειδική Επιτροπή Εμπειρογνωμόνων που προβλέπει ο Ν. 4062/2012, ενώ  το Κεντρικό Συμβούλιο Διοίκησης για την Αξιοποίηση της Δημόσιας Περιουσίας, αποτελούμενο από τους Γενικούς Γραμματείς όλων των εμπλεκομένων Υπουργείων εισηγείται το σχέδιο του σχετικού Π.Δ. στους αρμόδιους Υπουργούς.</w:t>
      </w:r>
    </w:p>
    <w:p w14:paraId="23D67DDE" w14:textId="77777777" w:rsidR="00296428" w:rsidRPr="00296428" w:rsidRDefault="00296428" w:rsidP="00296428">
      <w:pPr>
        <w:shd w:val="clear" w:color="auto" w:fill="FFFFFF"/>
        <w:spacing w:after="210"/>
        <w:rPr>
          <w:rFonts w:ascii="Arial" w:eastAsia="Times New Roman" w:hAnsi="Arial" w:cs="Times New Roman"/>
          <w:color w:val="131313"/>
          <w:sz w:val="22"/>
          <w:szCs w:val="22"/>
          <w:lang w:val="en-GR" w:eastAsia="en-GB"/>
        </w:rPr>
      </w:pPr>
      <w:r w:rsidRPr="00296428">
        <w:rPr>
          <w:rFonts w:ascii="Arial" w:eastAsia="Times New Roman" w:hAnsi="Arial" w:cs="Times New Roman"/>
          <w:color w:val="131313"/>
          <w:sz w:val="22"/>
          <w:szCs w:val="22"/>
          <w:lang w:val="en-GR" w:eastAsia="en-GB"/>
        </w:rPr>
        <w:t>Συνεπώς, της έγκρισης του ΣΟΑ προηγείται ένας εκτεταμένος έλεγχος όλων των παραμέτρων του, τόσο από την Διοίκηση όσο και από τη Δικαστική εξουσία. Σημειώνεται ωστόσο ότι, όπως προβλέπεται στη Σύμβαση, για να ολοκληρωθεί η μεταβίβαση, το ΣΟΑ που εν τέλει θα εγκριθεί, οφείλει να μην έχει ουσιαστικές διαφοροποιήσεις με το πολεοδομικό σχέδιο των Επενδυτών, καθ’ ότι διαφορετικά δεν θα συμβάδιζε με το αντίστοιχο Επιχειρηματικό Σχέδιο.</w:t>
      </w:r>
    </w:p>
    <w:p w14:paraId="76A761F2" w14:textId="77777777" w:rsidR="00296428" w:rsidRPr="00296428" w:rsidRDefault="00296428" w:rsidP="00296428">
      <w:pPr>
        <w:shd w:val="clear" w:color="auto" w:fill="FFFFFF"/>
        <w:spacing w:after="210"/>
        <w:rPr>
          <w:rFonts w:ascii="Arial" w:eastAsia="Times New Roman" w:hAnsi="Arial" w:cs="Times New Roman"/>
          <w:color w:val="131313"/>
          <w:sz w:val="22"/>
          <w:szCs w:val="22"/>
          <w:lang w:val="en-GR" w:eastAsia="en-GB"/>
        </w:rPr>
      </w:pPr>
      <w:r w:rsidRPr="00296428">
        <w:rPr>
          <w:rFonts w:ascii="Arial" w:eastAsia="Times New Roman" w:hAnsi="Arial" w:cs="Times New Roman"/>
          <w:color w:val="131313"/>
          <w:sz w:val="22"/>
          <w:szCs w:val="22"/>
          <w:lang w:val="en-GR" w:eastAsia="en-GB"/>
        </w:rPr>
        <w:t>Το πολεοδομικό σχέδιο των Επενδυτών είχε κατατεθεί στο ΤΑΙΠΕΔ και είχε εγκριθεί απ’ αυτό ήδη κατά το διαγωνισμό. Όμως το Ελληνικό Δημόσιο, μετά την υπογραφή της Σύμβασης, ζήτησε την τροποποίησή της σε επιμέρους σημεία και για επιμέρους ζητήματα που άπτονταν και πολεοδομικών θεμάτων. Έτσι, μετά την υπογραφή της Τροποποιητικής Σύμβασης τον Ιούλιο του 2016, χρειάστηκε μερικός επανασχεδιασμός. Εν τέλει, το ΣΟΑ υποβλήθηκε στο ΤΑΙΠΕΔ για έλεγχο πληρότητας τον Δεκέμβριο του 2016 κι επανεγκρίθηκε το Φεβρουάριο του 2017.</w:t>
      </w:r>
    </w:p>
    <w:p w14:paraId="0E6578E1" w14:textId="77777777" w:rsidR="00296428" w:rsidRPr="00296428" w:rsidRDefault="00296428" w:rsidP="00296428">
      <w:pPr>
        <w:shd w:val="clear" w:color="auto" w:fill="FFFFFF"/>
        <w:spacing w:after="210"/>
        <w:rPr>
          <w:rFonts w:ascii="Arial" w:eastAsia="Times New Roman" w:hAnsi="Arial" w:cs="Times New Roman"/>
          <w:color w:val="131313"/>
          <w:sz w:val="22"/>
          <w:szCs w:val="22"/>
          <w:lang w:val="en-GR" w:eastAsia="en-GB"/>
        </w:rPr>
      </w:pPr>
      <w:r w:rsidRPr="00296428">
        <w:rPr>
          <w:rFonts w:ascii="Arial" w:eastAsia="Times New Roman" w:hAnsi="Arial" w:cs="Times New Roman"/>
          <w:color w:val="131313"/>
          <w:sz w:val="22"/>
          <w:szCs w:val="22"/>
          <w:lang w:val="en-GR" w:eastAsia="en-GB"/>
        </w:rPr>
        <w:t>Οριστική υποβολή ωστόσο, δεν ήταν δυνατή αν πρώτα δεν επιλύονταν οι διοικητικές εκκρεμότητες που ακόμη υφίσταντο κατά το χρόνο εκείνο. Εν τέλει, προς επιτάχυνση της διαδικασίας και παρ’ ότι συγκεκριμένες εκκρεμότητες δεν είχαν επιλυθεί οριστικά, γεγονός που είναι εξαιρετικά πιθανό να έχει επιπτώσεις στη συνολική δυνατότητα υλοποίησης του προγράμματος ανάπτυξης, το ΣΟΑ κατατέθηκε προς έγκριση τον Ιούνιο του 2017, ο δε νόμος προβλέπει ότι όφειλε να εγκριθεί εντός έξι (6) μηνών από την υποβολή του.</w:t>
      </w:r>
    </w:p>
    <w:p w14:paraId="65DAFBDE" w14:textId="77777777" w:rsidR="00296428" w:rsidRPr="00296428" w:rsidRDefault="00296428" w:rsidP="00296428">
      <w:pPr>
        <w:shd w:val="clear" w:color="auto" w:fill="FFFFFF"/>
        <w:spacing w:after="210"/>
        <w:rPr>
          <w:rFonts w:ascii="Arial" w:eastAsia="Times New Roman" w:hAnsi="Arial" w:cs="Times New Roman"/>
          <w:color w:val="131313"/>
          <w:sz w:val="22"/>
          <w:szCs w:val="22"/>
          <w:lang w:val="en-GR" w:eastAsia="en-GB"/>
        </w:rPr>
      </w:pPr>
      <w:r w:rsidRPr="00296428">
        <w:rPr>
          <w:rFonts w:ascii="Arial" w:eastAsia="Times New Roman" w:hAnsi="Arial" w:cs="Times New Roman"/>
          <w:color w:val="131313"/>
          <w:sz w:val="22"/>
          <w:szCs w:val="22"/>
          <w:lang w:val="en-GR" w:eastAsia="en-GB"/>
        </w:rPr>
        <w:t>Έκτοτε έχουν ολοκληρωθεί, η δημόσια διαβούλευση επί της Στρατηγικής Μελέτης Περιβαλλοντικών Επιπτώσεων, οι συνεδριάσεις του αρμοδίου οργάνου (Κεντρικό Συμβούλιο Διοίκησης για την Αξιοποίηση της Δημόσιας Περιουσίας) και το σχέδιο του Προεδρικού Διατάγματος υπογράφηκε από τους αρμόδιους υπουργούς και έχει προωθηθεί στο Συμβούλιο της Επικρατείας για επεξεργασία.</w:t>
      </w:r>
    </w:p>
    <w:p w14:paraId="67F8F54C" w14:textId="77777777" w:rsidR="00FC157E" w:rsidRPr="00296428" w:rsidRDefault="00FC157E">
      <w:pPr>
        <w:rPr>
          <w:rFonts w:ascii="Arial" w:hAnsi="Arial"/>
          <w:sz w:val="22"/>
          <w:szCs w:val="22"/>
          <w:lang w:val="en-GR"/>
        </w:rPr>
      </w:pPr>
    </w:p>
    <w:sectPr w:rsidR="00FC157E" w:rsidRPr="002964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00000003" w:usb1="00000000" w:usb2="00000000" w:usb3="00000000" w:csb0="0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00000003" w:usb1="00000000" w:usb2="00000000" w:usb3="00000000" w:csb0="00000001" w:csb1="00000000"/>
  </w:font>
  <w:font w:name="Arial">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9114D"/>
    <w:multiLevelType w:val="multilevel"/>
    <w:tmpl w:val="F12017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AF250F"/>
    <w:multiLevelType w:val="multilevel"/>
    <w:tmpl w:val="C6123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4B0A21"/>
    <w:multiLevelType w:val="multilevel"/>
    <w:tmpl w:val="99467D6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0C4F57"/>
    <w:multiLevelType w:val="multilevel"/>
    <w:tmpl w:val="E09687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830A99"/>
    <w:multiLevelType w:val="multilevel"/>
    <w:tmpl w:val="8236C5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6E045E"/>
    <w:multiLevelType w:val="multilevel"/>
    <w:tmpl w:val="6F0EF67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EA24550"/>
    <w:multiLevelType w:val="multilevel"/>
    <w:tmpl w:val="B6E29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B513FB"/>
    <w:multiLevelType w:val="multilevel"/>
    <w:tmpl w:val="83E42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F34B1A"/>
    <w:multiLevelType w:val="multilevel"/>
    <w:tmpl w:val="C0227D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4B9532B"/>
    <w:multiLevelType w:val="multilevel"/>
    <w:tmpl w:val="BF0CC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66C17CD"/>
    <w:multiLevelType w:val="multilevel"/>
    <w:tmpl w:val="8B5E26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532416C"/>
    <w:multiLevelType w:val="multilevel"/>
    <w:tmpl w:val="22E4F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9C6B4A"/>
    <w:multiLevelType w:val="multilevel"/>
    <w:tmpl w:val="6C72B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52410CC"/>
    <w:multiLevelType w:val="multilevel"/>
    <w:tmpl w:val="21286E7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B58138E"/>
    <w:multiLevelType w:val="multilevel"/>
    <w:tmpl w:val="B51C8C5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A772545"/>
    <w:multiLevelType w:val="multilevel"/>
    <w:tmpl w:val="FBE298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3"/>
  </w:num>
  <w:num w:numId="3">
    <w:abstractNumId w:val="1"/>
  </w:num>
  <w:num w:numId="4">
    <w:abstractNumId w:val="15"/>
  </w:num>
  <w:num w:numId="5">
    <w:abstractNumId w:val="6"/>
  </w:num>
  <w:num w:numId="6">
    <w:abstractNumId w:val="8"/>
  </w:num>
  <w:num w:numId="7">
    <w:abstractNumId w:val="14"/>
  </w:num>
  <w:num w:numId="8">
    <w:abstractNumId w:val="2"/>
  </w:num>
  <w:num w:numId="9">
    <w:abstractNumId w:val="9"/>
  </w:num>
  <w:num w:numId="10">
    <w:abstractNumId w:val="10"/>
  </w:num>
  <w:num w:numId="11">
    <w:abstractNumId w:val="7"/>
  </w:num>
  <w:num w:numId="12">
    <w:abstractNumId w:val="4"/>
  </w:num>
  <w:num w:numId="13">
    <w:abstractNumId w:val="11"/>
  </w:num>
  <w:num w:numId="14">
    <w:abstractNumId w:val="0"/>
  </w:num>
  <w:num w:numId="15">
    <w:abstractNumId w:val="13"/>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FEF"/>
    <w:rsid w:val="00047FC9"/>
    <w:rsid w:val="00296428"/>
    <w:rsid w:val="00871FEF"/>
    <w:rsid w:val="009B59FB"/>
    <w:rsid w:val="00FC157E"/>
  </w:rsids>
  <m:mathPr>
    <m:mathFont m:val="Cambria Math"/>
    <m:brkBin m:val="before"/>
    <m:brkBinSub m:val="--"/>
    <m:smallFrac m:val="0"/>
    <m:dispDef/>
    <m:lMargin m:val="0"/>
    <m:rMargin m:val="0"/>
    <m:defJc m:val="centerGroup"/>
    <m:wrapIndent m:val="1440"/>
    <m:intLim m:val="subSup"/>
    <m:naryLim m:val="undOvr"/>
  </m:mathPr>
  <w:themeFontLang w:val="en-GR"/>
  <w:clrSchemeMapping w:bg1="light1" w:t1="dark1" w:bg2="light2" w:t2="dark2" w:accent1="accent1" w:accent2="accent2" w:accent3="accent3" w:accent4="accent4" w:accent5="accent5" w:accent6="accent6" w:hyperlink="hyperlink" w:followedHyperlink="followedHyperlink"/>
  <w:decimalSymbol w:val=","/>
  <w:listSeparator w:val=","/>
  <w14:docId w14:val="1B4E27BB"/>
  <w15:chartTrackingRefBased/>
  <w15:docId w15:val="{460843D4-DC6F-9944-9E92-A22B27C74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2">
    <w:name w:val="heading 2"/>
    <w:basedOn w:val="Normal"/>
    <w:link w:val="Heading2Char"/>
    <w:uiPriority w:val="9"/>
    <w:qFormat/>
    <w:rsid w:val="00296428"/>
    <w:pPr>
      <w:spacing w:before="100" w:beforeAutospacing="1" w:after="100" w:afterAutospacing="1"/>
      <w:outlineLvl w:val="1"/>
    </w:pPr>
    <w:rPr>
      <w:rFonts w:ascii="Times New Roman" w:eastAsia="Times New Roman" w:hAnsi="Times New Roman" w:cs="Times New Roman"/>
      <w:b/>
      <w:bCs/>
      <w:sz w:val="36"/>
      <w:szCs w:val="36"/>
      <w:lang w:val="en-GR"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96428"/>
    <w:rPr>
      <w:rFonts w:ascii="Times New Roman" w:eastAsia="Times New Roman" w:hAnsi="Times New Roman" w:cs="Times New Roman"/>
      <w:b/>
      <w:bCs/>
      <w:sz w:val="36"/>
      <w:szCs w:val="36"/>
      <w:lang w:eastAsia="en-GB"/>
    </w:rPr>
  </w:style>
  <w:style w:type="character" w:customStyle="1" w:styleId="blogpostdate">
    <w:name w:val="blog_post_date"/>
    <w:basedOn w:val="DefaultParagraphFont"/>
    <w:rsid w:val="00296428"/>
  </w:style>
  <w:style w:type="paragraph" w:styleId="NormalWeb">
    <w:name w:val="Normal (Web)"/>
    <w:basedOn w:val="Normal"/>
    <w:uiPriority w:val="99"/>
    <w:semiHidden/>
    <w:unhideWhenUsed/>
    <w:rsid w:val="00296428"/>
    <w:pPr>
      <w:spacing w:before="100" w:beforeAutospacing="1" w:after="100" w:afterAutospacing="1"/>
    </w:pPr>
    <w:rPr>
      <w:rFonts w:ascii="Times New Roman" w:eastAsia="Times New Roman" w:hAnsi="Times New Roman" w:cs="Times New Roman"/>
      <w:lang w:val="en-GR" w:eastAsia="en-GB"/>
    </w:rPr>
  </w:style>
  <w:style w:type="character" w:styleId="Strong">
    <w:name w:val="Strong"/>
    <w:basedOn w:val="DefaultParagraphFont"/>
    <w:uiPriority w:val="22"/>
    <w:qFormat/>
    <w:rsid w:val="002964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856772">
      <w:bodyDiv w:val="1"/>
      <w:marLeft w:val="0"/>
      <w:marRight w:val="0"/>
      <w:marTop w:val="0"/>
      <w:marBottom w:val="0"/>
      <w:divBdr>
        <w:top w:val="none" w:sz="0" w:space="0" w:color="auto"/>
        <w:left w:val="none" w:sz="0" w:space="0" w:color="auto"/>
        <w:bottom w:val="none" w:sz="0" w:space="0" w:color="auto"/>
        <w:right w:val="none" w:sz="0" w:space="0" w:color="auto"/>
      </w:divBdr>
      <w:divsChild>
        <w:div w:id="1237739069">
          <w:marLeft w:val="0"/>
          <w:marRight w:val="0"/>
          <w:marTop w:val="0"/>
          <w:marBottom w:val="0"/>
          <w:divBdr>
            <w:top w:val="none" w:sz="0" w:space="0" w:color="auto"/>
            <w:left w:val="none" w:sz="0" w:space="0" w:color="auto"/>
            <w:bottom w:val="none" w:sz="0" w:space="0" w:color="auto"/>
            <w:right w:val="none" w:sz="0" w:space="0" w:color="auto"/>
          </w:divBdr>
          <w:divsChild>
            <w:div w:id="208340574">
              <w:marLeft w:val="0"/>
              <w:marRight w:val="0"/>
              <w:marTop w:val="0"/>
              <w:marBottom w:val="360"/>
              <w:divBdr>
                <w:top w:val="none" w:sz="0" w:space="0" w:color="auto"/>
                <w:left w:val="none" w:sz="0" w:space="0" w:color="auto"/>
                <w:bottom w:val="single" w:sz="6" w:space="18" w:color="DFDFDF"/>
                <w:right w:val="none" w:sz="0" w:space="0" w:color="auto"/>
              </w:divBdr>
            </w:div>
          </w:divsChild>
        </w:div>
        <w:div w:id="745952402">
          <w:marLeft w:val="0"/>
          <w:marRight w:val="0"/>
          <w:marTop w:val="0"/>
          <w:marBottom w:val="0"/>
          <w:divBdr>
            <w:top w:val="none" w:sz="0" w:space="0" w:color="auto"/>
            <w:left w:val="none" w:sz="0" w:space="0" w:color="auto"/>
            <w:bottom w:val="none" w:sz="0" w:space="0" w:color="auto"/>
            <w:right w:val="none" w:sz="0" w:space="0" w:color="auto"/>
          </w:divBdr>
        </w:div>
      </w:divsChild>
    </w:div>
    <w:div w:id="521087813">
      <w:bodyDiv w:val="1"/>
      <w:marLeft w:val="0"/>
      <w:marRight w:val="0"/>
      <w:marTop w:val="0"/>
      <w:marBottom w:val="0"/>
      <w:divBdr>
        <w:top w:val="none" w:sz="0" w:space="0" w:color="auto"/>
        <w:left w:val="none" w:sz="0" w:space="0" w:color="auto"/>
        <w:bottom w:val="none" w:sz="0" w:space="0" w:color="auto"/>
        <w:right w:val="none" w:sz="0" w:space="0" w:color="auto"/>
      </w:divBdr>
      <w:divsChild>
        <w:div w:id="2102797913">
          <w:marLeft w:val="0"/>
          <w:marRight w:val="0"/>
          <w:marTop w:val="0"/>
          <w:marBottom w:val="0"/>
          <w:divBdr>
            <w:top w:val="none" w:sz="0" w:space="0" w:color="auto"/>
            <w:left w:val="none" w:sz="0" w:space="0" w:color="auto"/>
            <w:bottom w:val="none" w:sz="0" w:space="0" w:color="auto"/>
            <w:right w:val="none" w:sz="0" w:space="0" w:color="auto"/>
          </w:divBdr>
          <w:divsChild>
            <w:div w:id="1406032345">
              <w:marLeft w:val="0"/>
              <w:marRight w:val="0"/>
              <w:marTop w:val="0"/>
              <w:marBottom w:val="360"/>
              <w:divBdr>
                <w:top w:val="none" w:sz="0" w:space="0" w:color="auto"/>
                <w:left w:val="none" w:sz="0" w:space="0" w:color="auto"/>
                <w:bottom w:val="single" w:sz="6" w:space="18" w:color="DFDFDF"/>
                <w:right w:val="none" w:sz="0" w:space="0" w:color="auto"/>
              </w:divBdr>
            </w:div>
          </w:divsChild>
        </w:div>
        <w:div w:id="5681567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2820</Words>
  <Characters>16080</Characters>
  <Application>Microsoft Office Word</Application>
  <DocSecurity>0</DocSecurity>
  <Lines>134</Lines>
  <Paragraphs>37</Paragraphs>
  <ScaleCrop>false</ScaleCrop>
  <Company/>
  <LinksUpToDate>false</LinksUpToDate>
  <CharactersWithSpaces>18863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Laspias Thalis</dc:creator>
  <cp:keywords/>
  <dc:description/>
  <cp:lastModifiedBy>Laspias Thalis</cp:lastModifiedBy>
  <cp:revision>2</cp:revision>
  <dcterms:created xsi:type="dcterms:W3CDTF">2021-08-20T11:27:00Z</dcterms:created>
  <dcterms:modified xsi:type="dcterms:W3CDTF">2021-08-20T11:30:00Z</dcterms:modified>
</cp:coreProperties>
</file>